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11AC9" w14:textId="18D35EA9" w:rsidR="00642093" w:rsidRPr="00235450" w:rsidRDefault="00642093" w:rsidP="00622838">
      <w:pPr>
        <w:pStyle w:val="Titel"/>
      </w:pPr>
      <w:r w:rsidRPr="00235450">
        <w:t>Education and Examination Regulation</w:t>
      </w:r>
      <w:r w:rsidR="00976388" w:rsidRPr="00235450">
        <w:t>s</w:t>
      </w:r>
      <w:r w:rsidRPr="00235450">
        <w:t xml:space="preserve"> </w:t>
      </w:r>
      <w:r w:rsidR="0032156B" w:rsidRPr="00235450">
        <w:t>Master Water</w:t>
      </w:r>
      <w:r w:rsidR="00236DFA" w:rsidRPr="00235450">
        <w:t xml:space="preserve"> T</w:t>
      </w:r>
      <w:r w:rsidR="0032156B" w:rsidRPr="00235450">
        <w:t>echnology</w:t>
      </w:r>
      <w:r w:rsidRPr="00235450">
        <w:t xml:space="preserve"> </w:t>
      </w:r>
      <w:r w:rsidR="00236DFA" w:rsidRPr="00235450">
        <w:t xml:space="preserve">(joint degree) </w:t>
      </w:r>
      <w:r w:rsidR="001625F7">
        <w:t>2020-2021</w:t>
      </w:r>
      <w:r w:rsidR="00DE6EFC" w:rsidRPr="00235450">
        <w:t xml:space="preserve"> </w:t>
      </w:r>
      <w:r w:rsidRPr="00235450">
        <w:t>(general section)</w:t>
      </w:r>
    </w:p>
    <w:p w14:paraId="11DD66BE" w14:textId="77777777" w:rsidR="007A5F32" w:rsidRPr="00235450" w:rsidRDefault="007A5F32"/>
    <w:p w14:paraId="75BB32B4" w14:textId="35F8AA27" w:rsidR="00642093" w:rsidRPr="00235450" w:rsidRDefault="00642093">
      <w:pPr>
        <w:rPr>
          <w:rStyle w:val="Hyperlink"/>
          <w:color w:val="auto"/>
          <w:u w:val="none"/>
        </w:rPr>
      </w:pPr>
      <w:r w:rsidRPr="00235450">
        <w:t xml:space="preserve">The </w:t>
      </w:r>
      <w:r w:rsidR="00CF4057" w:rsidRPr="00235450">
        <w:t>Education and Examination R</w:t>
      </w:r>
      <w:r w:rsidRPr="00235450">
        <w:t>egulation</w:t>
      </w:r>
      <w:r w:rsidR="00976388" w:rsidRPr="00235450">
        <w:t>s</w:t>
      </w:r>
      <w:r w:rsidR="00DA1F9D" w:rsidRPr="00235450">
        <w:t xml:space="preserve"> (E</w:t>
      </w:r>
      <w:r w:rsidRPr="00235450">
        <w:t xml:space="preserve">ER) </w:t>
      </w:r>
      <w:r w:rsidR="00976388" w:rsidRPr="00235450">
        <w:t xml:space="preserve">are </w:t>
      </w:r>
      <w:r w:rsidRPr="00235450">
        <w:t xml:space="preserve">a legally </w:t>
      </w:r>
      <w:r w:rsidR="004D7489" w:rsidRPr="00235450">
        <w:t xml:space="preserve">required </w:t>
      </w:r>
      <w:r w:rsidR="00976388" w:rsidRPr="00235450">
        <w:t xml:space="preserve">set of </w:t>
      </w:r>
      <w:r w:rsidR="004D7489" w:rsidRPr="00235450">
        <w:t>regulation</w:t>
      </w:r>
      <w:r w:rsidR="00976388" w:rsidRPr="00235450">
        <w:t>s</w:t>
      </w:r>
      <w:r w:rsidRPr="00235450">
        <w:t xml:space="preserve"> (</w:t>
      </w:r>
      <w:r w:rsidR="00976388" w:rsidRPr="00235450">
        <w:t>A</w:t>
      </w:r>
      <w:r w:rsidRPr="00235450">
        <w:t xml:space="preserve">rticle 7.13 WHW) </w:t>
      </w:r>
      <w:r w:rsidR="004721E7" w:rsidRPr="00235450">
        <w:t>that</w:t>
      </w:r>
      <w:r w:rsidR="00303F5C" w:rsidRPr="00235450">
        <w:t xml:space="preserve"> </w:t>
      </w:r>
      <w:r w:rsidR="009C001A" w:rsidRPr="00235450">
        <w:t>provides</w:t>
      </w:r>
      <w:r w:rsidRPr="00235450">
        <w:t xml:space="preserve"> students</w:t>
      </w:r>
      <w:r w:rsidR="009C001A" w:rsidRPr="00235450">
        <w:t xml:space="preserve"> with</w:t>
      </w:r>
      <w:r w:rsidRPr="00235450">
        <w:t xml:space="preserve"> information </w:t>
      </w:r>
      <w:r w:rsidR="00976388" w:rsidRPr="00235450">
        <w:t xml:space="preserve">about </w:t>
      </w:r>
      <w:r w:rsidRPr="00235450">
        <w:t xml:space="preserve">and </w:t>
      </w:r>
      <w:r w:rsidR="00976388" w:rsidRPr="00235450">
        <w:t xml:space="preserve">establishes </w:t>
      </w:r>
      <w:r w:rsidRPr="00235450">
        <w:t>r</w:t>
      </w:r>
      <w:r w:rsidR="00DA1F9D" w:rsidRPr="00235450">
        <w:t xml:space="preserve">egulations </w:t>
      </w:r>
      <w:r w:rsidR="009C001A" w:rsidRPr="00235450">
        <w:t>concerning</w:t>
      </w:r>
      <w:r w:rsidRPr="00235450">
        <w:t xml:space="preserve"> the</w:t>
      </w:r>
      <w:r w:rsidR="00976388" w:rsidRPr="00235450">
        <w:t>ir</w:t>
      </w:r>
      <w:r w:rsidRPr="00235450">
        <w:t xml:space="preserve"> </w:t>
      </w:r>
      <w:r w:rsidR="00566460" w:rsidRPr="00235450">
        <w:t>programme</w:t>
      </w:r>
      <w:r w:rsidR="0032156B" w:rsidRPr="00235450">
        <w:t xml:space="preserve"> MSc Water</w:t>
      </w:r>
      <w:r w:rsidR="00236DFA" w:rsidRPr="00235450">
        <w:t xml:space="preserve"> T</w:t>
      </w:r>
      <w:r w:rsidR="0032156B" w:rsidRPr="00235450">
        <w:t>echnology</w:t>
      </w:r>
      <w:r w:rsidR="00D34F8B" w:rsidRPr="00235450">
        <w:t xml:space="preserve"> (“MWT”)</w:t>
      </w:r>
      <w:r w:rsidR="00DA1F9D" w:rsidRPr="00235450">
        <w:t>. The E</w:t>
      </w:r>
      <w:r w:rsidR="00303F5C" w:rsidRPr="00235450">
        <w:t xml:space="preserve">ER consists of two parts: a general section and the </w:t>
      </w:r>
      <w:hyperlink r:id="rId8" w:history="1">
        <w:r w:rsidR="00303F5C" w:rsidRPr="00153A69">
          <w:rPr>
            <w:rStyle w:val="Hyperlink"/>
          </w:rPr>
          <w:t>Study Handbook.</w:t>
        </w:r>
      </w:hyperlink>
      <w:r w:rsidR="00303F5C" w:rsidRPr="00235450">
        <w:t xml:space="preserve"> </w:t>
      </w:r>
      <w:r w:rsidR="00D34F8B" w:rsidRPr="00235450">
        <w:t>T</w:t>
      </w:r>
      <w:r w:rsidR="00303F5C" w:rsidRPr="00235450">
        <w:t>he Study Handbook describes the learning objectives</w:t>
      </w:r>
      <w:r w:rsidR="00976388" w:rsidRPr="00235450">
        <w:t xml:space="preserve">, </w:t>
      </w:r>
      <w:r w:rsidR="00303F5C" w:rsidRPr="00235450">
        <w:t xml:space="preserve">the </w:t>
      </w:r>
      <w:r w:rsidR="00976388" w:rsidRPr="00235450">
        <w:t xml:space="preserve">programme structure and planning </w:t>
      </w:r>
      <w:r w:rsidR="00D34F8B" w:rsidRPr="00235450">
        <w:t xml:space="preserve">of the MWT programme </w:t>
      </w:r>
      <w:r w:rsidR="009A401E" w:rsidRPr="00235450">
        <w:t xml:space="preserve">and provides detailed information on all </w:t>
      </w:r>
      <w:r w:rsidR="00F4348C" w:rsidRPr="00235450">
        <w:t xml:space="preserve">courses </w:t>
      </w:r>
      <w:r w:rsidR="009A401E" w:rsidRPr="00235450">
        <w:t xml:space="preserve">and the </w:t>
      </w:r>
      <w:r w:rsidR="00976388" w:rsidRPr="00235450">
        <w:t xml:space="preserve">corresponding </w:t>
      </w:r>
      <w:r w:rsidR="00F4348C" w:rsidRPr="00235450">
        <w:t xml:space="preserve">interim </w:t>
      </w:r>
      <w:r w:rsidR="009A401E" w:rsidRPr="00235450">
        <w:t>exam</w:t>
      </w:r>
      <w:r w:rsidR="00D34F8B" w:rsidRPr="00235450">
        <w:t>ination</w:t>
      </w:r>
      <w:r w:rsidR="009A401E" w:rsidRPr="00235450">
        <w:t xml:space="preserve">s offered </w:t>
      </w:r>
      <w:r w:rsidR="0032156B" w:rsidRPr="00235450">
        <w:t xml:space="preserve">within this </w:t>
      </w:r>
      <w:r w:rsidR="00566460" w:rsidRPr="00235450">
        <w:t>programme</w:t>
      </w:r>
      <w:r w:rsidR="009A401E" w:rsidRPr="00235450">
        <w:t xml:space="preserve">. </w:t>
      </w:r>
      <w:r w:rsidR="006F245E" w:rsidRPr="00235450">
        <w:t xml:space="preserve">For each course a course guide </w:t>
      </w:r>
      <w:r w:rsidR="00395494" w:rsidRPr="00235450">
        <w:t>can be</w:t>
      </w:r>
      <w:r w:rsidR="006F245E" w:rsidRPr="00235450">
        <w:t xml:space="preserve"> supplied, containing information about the topics, the education, interim examinations and partial interim examinations. The rules and information in the course guide may not conflict with the general part of the EER or the Study Handbook. </w:t>
      </w:r>
      <w:r w:rsidR="009A401E" w:rsidRPr="00235450">
        <w:t xml:space="preserve">The </w:t>
      </w:r>
      <w:r w:rsidR="00236DFA" w:rsidRPr="00235450">
        <w:t>E</w:t>
      </w:r>
      <w:r w:rsidR="009A401E" w:rsidRPr="00235450">
        <w:t xml:space="preserve">ER is part of the </w:t>
      </w:r>
      <w:hyperlink r:id="rId9" w:history="1">
        <w:r w:rsidR="009A401E" w:rsidRPr="00153A69">
          <w:rPr>
            <w:rStyle w:val="Hyperlink"/>
          </w:rPr>
          <w:t>Student Charter</w:t>
        </w:r>
        <w:r w:rsidR="004721E7" w:rsidRPr="00153A69">
          <w:rPr>
            <w:rStyle w:val="Hyperlink"/>
          </w:rPr>
          <w:t>,</w:t>
        </w:r>
      </w:hyperlink>
      <w:r w:rsidR="009A401E" w:rsidRPr="00235450">
        <w:t xml:space="preserve"> </w:t>
      </w:r>
      <w:r w:rsidR="009A401E" w:rsidRPr="00235450">
        <w:rPr>
          <w:rStyle w:val="Hyperlink"/>
          <w:color w:val="auto"/>
          <w:u w:val="none"/>
        </w:rPr>
        <w:t>which contains a number of other regulations applicable to student</w:t>
      </w:r>
      <w:r w:rsidR="00976388" w:rsidRPr="00235450">
        <w:rPr>
          <w:rStyle w:val="Hyperlink"/>
          <w:color w:val="auto"/>
          <w:u w:val="none"/>
        </w:rPr>
        <w:t>s</w:t>
      </w:r>
      <w:r w:rsidR="009A401E" w:rsidRPr="00235450">
        <w:rPr>
          <w:rStyle w:val="Hyperlink"/>
          <w:color w:val="auto"/>
          <w:u w:val="none"/>
        </w:rPr>
        <w:t>.</w:t>
      </w:r>
      <w:r w:rsidR="00D34F8B" w:rsidRPr="00235450">
        <w:rPr>
          <w:rStyle w:val="Hyperlink"/>
          <w:color w:val="auto"/>
          <w:u w:val="none"/>
        </w:rPr>
        <w:t xml:space="preserve"> When following a free choice course offered at one of the partner universities or another university, the EER of that university will apply to practical aspects regarding the specific course, like the </w:t>
      </w:r>
      <w:r w:rsidR="00C93E69" w:rsidRPr="00235450">
        <w:rPr>
          <w:rStyle w:val="Hyperlink"/>
          <w:color w:val="auto"/>
          <w:u w:val="none"/>
        </w:rPr>
        <w:t>resit</w:t>
      </w:r>
      <w:r w:rsidR="00D34F8B" w:rsidRPr="00235450">
        <w:rPr>
          <w:rStyle w:val="Hyperlink"/>
          <w:color w:val="auto"/>
          <w:u w:val="none"/>
        </w:rPr>
        <w:t xml:space="preserve"> possibilities and assessment etc. Of course the MWT EER will remain applicable where it concerns the relation of this free choice course to the individual examination programme of the student.</w:t>
      </w:r>
    </w:p>
    <w:p w14:paraId="29951FA0" w14:textId="77777777" w:rsidR="00DB33BF" w:rsidRPr="00235450" w:rsidRDefault="00DB33BF">
      <w:pPr>
        <w:rPr>
          <w:rStyle w:val="Hyperlink"/>
          <w:color w:val="auto"/>
          <w:u w:val="none"/>
        </w:rPr>
      </w:pPr>
    </w:p>
    <w:p w14:paraId="58EAF6BE" w14:textId="6FCDB000" w:rsidR="00905822" w:rsidRPr="00235450" w:rsidRDefault="009A401E">
      <w:pPr>
        <w:rPr>
          <w:rStyle w:val="Hyperlink"/>
          <w:color w:val="auto"/>
          <w:u w:val="none"/>
        </w:rPr>
      </w:pPr>
      <w:r w:rsidRPr="00235450">
        <w:rPr>
          <w:rStyle w:val="Hyperlink"/>
          <w:color w:val="auto"/>
          <w:u w:val="none"/>
        </w:rPr>
        <w:t xml:space="preserve">In addition to the </w:t>
      </w:r>
      <w:r w:rsidR="00DA1F9D" w:rsidRPr="00235450">
        <w:rPr>
          <w:rStyle w:val="Hyperlink"/>
          <w:color w:val="auto"/>
          <w:u w:val="none"/>
        </w:rPr>
        <w:t>E</w:t>
      </w:r>
      <w:r w:rsidRPr="00235450">
        <w:rPr>
          <w:rStyle w:val="Hyperlink"/>
          <w:color w:val="auto"/>
          <w:u w:val="none"/>
        </w:rPr>
        <w:t xml:space="preserve">ER, the </w:t>
      </w:r>
      <w:r w:rsidR="00D35456" w:rsidRPr="00235450">
        <w:rPr>
          <w:rStyle w:val="Hyperlink"/>
          <w:color w:val="auto"/>
          <w:u w:val="none"/>
        </w:rPr>
        <w:t xml:space="preserve">Examining Board </w:t>
      </w:r>
      <w:r w:rsidR="00B04187" w:rsidRPr="00235450">
        <w:rPr>
          <w:rStyle w:val="Hyperlink"/>
          <w:color w:val="auto"/>
          <w:u w:val="none"/>
        </w:rPr>
        <w:t xml:space="preserve"> </w:t>
      </w:r>
      <w:r w:rsidRPr="00235450">
        <w:rPr>
          <w:rStyle w:val="Hyperlink"/>
          <w:color w:val="auto"/>
          <w:u w:val="none"/>
        </w:rPr>
        <w:t>ha</w:t>
      </w:r>
      <w:r w:rsidR="0032156B" w:rsidRPr="00235450">
        <w:rPr>
          <w:rStyle w:val="Hyperlink"/>
          <w:color w:val="auto"/>
          <w:u w:val="none"/>
        </w:rPr>
        <w:t>s</w:t>
      </w:r>
      <w:r w:rsidRPr="00235450">
        <w:rPr>
          <w:rStyle w:val="Hyperlink"/>
          <w:color w:val="auto"/>
          <w:u w:val="none"/>
        </w:rPr>
        <w:t xml:space="preserve"> </w:t>
      </w:r>
      <w:r w:rsidR="00DB33BF" w:rsidRPr="00235450">
        <w:rPr>
          <w:rStyle w:val="Hyperlink"/>
          <w:color w:val="auto"/>
          <w:u w:val="none"/>
        </w:rPr>
        <w:t>adopted</w:t>
      </w:r>
      <w:r w:rsidRPr="00235450">
        <w:rPr>
          <w:rStyle w:val="Hyperlink"/>
          <w:color w:val="auto"/>
          <w:u w:val="none"/>
        </w:rPr>
        <w:t xml:space="preserve"> </w:t>
      </w:r>
      <w:r w:rsidR="00CE3A1F" w:rsidRPr="00235450">
        <w:rPr>
          <w:rStyle w:val="Hyperlink"/>
          <w:color w:val="auto"/>
          <w:u w:val="none"/>
        </w:rPr>
        <w:t>Rules and Regulations</w:t>
      </w:r>
      <w:r w:rsidRPr="00235450">
        <w:rPr>
          <w:rStyle w:val="Hyperlink"/>
          <w:color w:val="auto"/>
          <w:u w:val="none"/>
        </w:rPr>
        <w:t xml:space="preserve"> in which the procedures regarding </w:t>
      </w:r>
      <w:r w:rsidR="00B04187" w:rsidRPr="00235450">
        <w:rPr>
          <w:rStyle w:val="Hyperlink"/>
          <w:color w:val="auto"/>
          <w:u w:val="none"/>
        </w:rPr>
        <w:t>interim</w:t>
      </w:r>
      <w:r w:rsidR="003E6DEA" w:rsidRPr="00235450">
        <w:rPr>
          <w:rStyle w:val="Hyperlink"/>
          <w:color w:val="auto"/>
          <w:u w:val="none"/>
        </w:rPr>
        <w:t xml:space="preserve"> </w:t>
      </w:r>
      <w:r w:rsidR="00B04187" w:rsidRPr="00235450">
        <w:rPr>
          <w:rStyle w:val="Hyperlink"/>
          <w:color w:val="auto"/>
          <w:u w:val="none"/>
        </w:rPr>
        <w:t xml:space="preserve">examinations and the tasks and </w:t>
      </w:r>
      <w:r w:rsidR="00772768" w:rsidRPr="00235450">
        <w:rPr>
          <w:rStyle w:val="Hyperlink"/>
          <w:color w:val="auto"/>
          <w:u w:val="none"/>
        </w:rPr>
        <w:t>authorities</w:t>
      </w:r>
      <w:r w:rsidR="00A442E0" w:rsidRPr="00235450">
        <w:rPr>
          <w:rStyle w:val="Hyperlink"/>
          <w:color w:val="auto"/>
          <w:u w:val="none"/>
        </w:rPr>
        <w:t xml:space="preserve"> </w:t>
      </w:r>
      <w:r w:rsidR="00B04187" w:rsidRPr="00235450">
        <w:rPr>
          <w:rStyle w:val="Hyperlink"/>
          <w:color w:val="auto"/>
          <w:u w:val="none"/>
        </w:rPr>
        <w:t xml:space="preserve">of the </w:t>
      </w:r>
      <w:r w:rsidR="00D35456" w:rsidRPr="00235450">
        <w:rPr>
          <w:rStyle w:val="Hyperlink"/>
          <w:color w:val="auto"/>
          <w:u w:val="none"/>
        </w:rPr>
        <w:t xml:space="preserve">Examining Board </w:t>
      </w:r>
      <w:r w:rsidR="00B04187" w:rsidRPr="00235450">
        <w:rPr>
          <w:rStyle w:val="Hyperlink"/>
          <w:color w:val="auto"/>
          <w:u w:val="none"/>
        </w:rPr>
        <w:t xml:space="preserve"> and examin</w:t>
      </w:r>
      <w:r w:rsidR="00DA1F9D" w:rsidRPr="00235450">
        <w:rPr>
          <w:rStyle w:val="Hyperlink"/>
          <w:color w:val="auto"/>
          <w:u w:val="none"/>
        </w:rPr>
        <w:t>e</w:t>
      </w:r>
      <w:r w:rsidR="00B04187" w:rsidRPr="00235450">
        <w:rPr>
          <w:rStyle w:val="Hyperlink"/>
          <w:color w:val="auto"/>
          <w:u w:val="none"/>
        </w:rPr>
        <w:t xml:space="preserve">rs are </w:t>
      </w:r>
      <w:r w:rsidR="00DB33BF" w:rsidRPr="00235450">
        <w:rPr>
          <w:rStyle w:val="Hyperlink"/>
          <w:color w:val="auto"/>
          <w:u w:val="none"/>
        </w:rPr>
        <w:t>specified</w:t>
      </w:r>
      <w:r w:rsidR="00DA1F9D" w:rsidRPr="00235450">
        <w:rPr>
          <w:rStyle w:val="Hyperlink"/>
          <w:color w:val="auto"/>
          <w:u w:val="none"/>
        </w:rPr>
        <w:t>.</w:t>
      </w:r>
      <w:r w:rsidR="00B04187" w:rsidRPr="00235450">
        <w:rPr>
          <w:rStyle w:val="Hyperlink"/>
          <w:color w:val="auto"/>
          <w:u w:val="none"/>
        </w:rPr>
        <w:t xml:space="preserve"> The most important topics relate to regis</w:t>
      </w:r>
      <w:r w:rsidR="00DC7959" w:rsidRPr="00235450">
        <w:rPr>
          <w:rStyle w:val="Hyperlink"/>
          <w:color w:val="auto"/>
          <w:u w:val="none"/>
        </w:rPr>
        <w:t>tration</w:t>
      </w:r>
      <w:r w:rsidR="00B04187" w:rsidRPr="00235450">
        <w:rPr>
          <w:rStyle w:val="Hyperlink"/>
          <w:color w:val="auto"/>
          <w:u w:val="none"/>
        </w:rPr>
        <w:t xml:space="preserve"> and </w:t>
      </w:r>
      <w:r w:rsidR="00FB3CCF" w:rsidRPr="00235450">
        <w:rPr>
          <w:rStyle w:val="Hyperlink"/>
          <w:color w:val="auto"/>
          <w:u w:val="none"/>
        </w:rPr>
        <w:t>withdrawal for</w:t>
      </w:r>
      <w:r w:rsidR="00DC7959" w:rsidRPr="00235450">
        <w:rPr>
          <w:rStyle w:val="Hyperlink"/>
          <w:color w:val="auto"/>
          <w:u w:val="none"/>
        </w:rPr>
        <w:t xml:space="preserve"> interim </w:t>
      </w:r>
      <w:r w:rsidR="00B04187" w:rsidRPr="00235450">
        <w:rPr>
          <w:rStyle w:val="Hyperlink"/>
          <w:color w:val="auto"/>
          <w:u w:val="none"/>
        </w:rPr>
        <w:t>exam</w:t>
      </w:r>
      <w:r w:rsidR="00DA6117" w:rsidRPr="00235450">
        <w:rPr>
          <w:rStyle w:val="Hyperlink"/>
          <w:color w:val="auto"/>
          <w:u w:val="none"/>
        </w:rPr>
        <w:t>ination</w:t>
      </w:r>
      <w:r w:rsidR="00B04187" w:rsidRPr="00235450">
        <w:rPr>
          <w:rStyle w:val="Hyperlink"/>
          <w:color w:val="auto"/>
          <w:u w:val="none"/>
        </w:rPr>
        <w:t>s</w:t>
      </w:r>
      <w:r w:rsidR="004D7489" w:rsidRPr="00235450">
        <w:rPr>
          <w:rStyle w:val="Hyperlink"/>
          <w:color w:val="auto"/>
          <w:u w:val="none"/>
        </w:rPr>
        <w:t xml:space="preserve">, </w:t>
      </w:r>
      <w:r w:rsidR="00C44AE3" w:rsidRPr="00235450">
        <w:rPr>
          <w:rStyle w:val="Hyperlink"/>
          <w:color w:val="auto"/>
          <w:u w:val="none"/>
        </w:rPr>
        <w:t>assessment</w:t>
      </w:r>
      <w:r w:rsidR="004D7489" w:rsidRPr="00235450">
        <w:rPr>
          <w:rStyle w:val="Hyperlink"/>
          <w:color w:val="auto"/>
          <w:u w:val="none"/>
        </w:rPr>
        <w:t xml:space="preserve"> and standards for interim</w:t>
      </w:r>
      <w:r w:rsidR="004721E7" w:rsidRPr="00235450">
        <w:rPr>
          <w:rStyle w:val="Hyperlink"/>
          <w:color w:val="auto"/>
          <w:u w:val="none"/>
        </w:rPr>
        <w:t xml:space="preserve"> e</w:t>
      </w:r>
      <w:r w:rsidR="004D7489" w:rsidRPr="00235450">
        <w:rPr>
          <w:rStyle w:val="Hyperlink"/>
          <w:color w:val="auto"/>
          <w:u w:val="none"/>
        </w:rPr>
        <w:t>xaminations</w:t>
      </w:r>
      <w:r w:rsidR="00B04187" w:rsidRPr="00235450">
        <w:rPr>
          <w:rStyle w:val="Hyperlink"/>
          <w:color w:val="auto"/>
          <w:u w:val="none"/>
        </w:rPr>
        <w:t xml:space="preserve">, various approval procedures, exemption procedures, </w:t>
      </w:r>
      <w:r w:rsidR="00DC7959" w:rsidRPr="00235450">
        <w:rPr>
          <w:rStyle w:val="Hyperlink"/>
          <w:color w:val="auto"/>
          <w:u w:val="none"/>
        </w:rPr>
        <w:t xml:space="preserve">rules for graduating ‘cum laude’, </w:t>
      </w:r>
      <w:r w:rsidR="00A442E0" w:rsidRPr="00235450">
        <w:rPr>
          <w:rStyle w:val="Hyperlink"/>
          <w:color w:val="auto"/>
          <w:u w:val="none"/>
        </w:rPr>
        <w:t xml:space="preserve">maintaining </w:t>
      </w:r>
      <w:r w:rsidR="004D7489" w:rsidRPr="00235450">
        <w:rPr>
          <w:rStyle w:val="Hyperlink"/>
          <w:color w:val="auto"/>
          <w:u w:val="none"/>
        </w:rPr>
        <w:t>order</w:t>
      </w:r>
      <w:r w:rsidR="00DC7959" w:rsidRPr="00235450">
        <w:rPr>
          <w:rStyle w:val="Hyperlink"/>
          <w:color w:val="auto"/>
          <w:u w:val="none"/>
        </w:rPr>
        <w:t xml:space="preserve"> during interim</w:t>
      </w:r>
      <w:r w:rsidR="004721E7" w:rsidRPr="00235450">
        <w:rPr>
          <w:rStyle w:val="Hyperlink"/>
          <w:color w:val="auto"/>
          <w:u w:val="none"/>
        </w:rPr>
        <w:t xml:space="preserve"> </w:t>
      </w:r>
      <w:r w:rsidR="00DC7959" w:rsidRPr="00235450">
        <w:rPr>
          <w:rStyle w:val="Hyperlink"/>
          <w:color w:val="auto"/>
          <w:u w:val="none"/>
        </w:rPr>
        <w:t xml:space="preserve">examinations and measures </w:t>
      </w:r>
      <w:r w:rsidR="003E6DEA" w:rsidRPr="00235450">
        <w:rPr>
          <w:rStyle w:val="Hyperlink"/>
          <w:color w:val="auto"/>
          <w:u w:val="none"/>
        </w:rPr>
        <w:t>in case of</w:t>
      </w:r>
      <w:r w:rsidR="00DC7959" w:rsidRPr="00235450">
        <w:rPr>
          <w:rStyle w:val="Hyperlink"/>
          <w:color w:val="auto"/>
          <w:u w:val="none"/>
        </w:rPr>
        <w:t xml:space="preserve"> fraud.</w:t>
      </w:r>
    </w:p>
    <w:p w14:paraId="40E5E38A" w14:textId="77777777" w:rsidR="00905822" w:rsidRPr="00235450" w:rsidRDefault="00905822">
      <w:pPr>
        <w:spacing w:after="200" w:line="276" w:lineRule="auto"/>
        <w:rPr>
          <w:rStyle w:val="Hyperlink"/>
          <w:color w:val="auto"/>
          <w:u w:val="none"/>
        </w:rPr>
      </w:pPr>
      <w:r w:rsidRPr="00235450">
        <w:rPr>
          <w:rStyle w:val="Hyperlink"/>
          <w:color w:val="auto"/>
          <w:u w:val="none"/>
        </w:rPr>
        <w:br w:type="page"/>
      </w:r>
    </w:p>
    <w:sdt>
      <w:sdtPr>
        <w:rPr>
          <w:rFonts w:ascii="Verdana" w:eastAsiaTheme="minorHAnsi" w:hAnsi="Verdana" w:cstheme="minorBidi"/>
          <w:b w:val="0"/>
          <w:bCs w:val="0"/>
          <w:color w:val="auto"/>
          <w:sz w:val="17"/>
          <w:szCs w:val="22"/>
          <w:u w:val="single"/>
          <w:lang w:val="en-GB" w:eastAsia="en-US"/>
        </w:rPr>
        <w:id w:val="-1760820870"/>
        <w:docPartObj>
          <w:docPartGallery w:val="Table of Contents"/>
          <w:docPartUnique/>
        </w:docPartObj>
      </w:sdtPr>
      <w:sdtEndPr>
        <w:rPr>
          <w:noProof/>
        </w:rPr>
      </w:sdtEndPr>
      <w:sdtContent>
        <w:p w14:paraId="341BEF3C" w14:textId="77777777" w:rsidR="00F13FE3" w:rsidRPr="00235450" w:rsidRDefault="00F13FE3">
          <w:pPr>
            <w:pStyle w:val="Kopvaninhoudsopgave"/>
            <w:rPr>
              <w:rFonts w:ascii="Verdana" w:hAnsi="Verdana"/>
              <w:color w:val="auto"/>
              <w:sz w:val="20"/>
              <w:szCs w:val="20"/>
              <w:lang w:val="en-GB"/>
            </w:rPr>
          </w:pPr>
          <w:r w:rsidRPr="00235450">
            <w:rPr>
              <w:rFonts w:ascii="Verdana" w:hAnsi="Verdana"/>
              <w:color w:val="auto"/>
              <w:sz w:val="20"/>
              <w:szCs w:val="20"/>
              <w:lang w:val="en-GB"/>
            </w:rPr>
            <w:t>Table of Contents</w:t>
          </w:r>
        </w:p>
        <w:p w14:paraId="494EADCA" w14:textId="6B70C7BD" w:rsidR="00E95D03" w:rsidRDefault="009718E6">
          <w:pPr>
            <w:pStyle w:val="Inhopg1"/>
            <w:tabs>
              <w:tab w:val="left" w:pos="1320"/>
              <w:tab w:val="right" w:leader="dot" w:pos="9062"/>
            </w:tabs>
            <w:rPr>
              <w:rFonts w:asciiTheme="minorHAnsi" w:eastAsiaTheme="minorEastAsia" w:hAnsiTheme="minorHAnsi"/>
              <w:noProof/>
              <w:sz w:val="22"/>
              <w:lang w:val="nl-NL" w:eastAsia="nl-NL"/>
            </w:rPr>
          </w:pPr>
          <w:r w:rsidRPr="00235450">
            <w:fldChar w:fldCharType="begin"/>
          </w:r>
          <w:r w:rsidR="00F13FE3" w:rsidRPr="00235450">
            <w:instrText xml:space="preserve"> TOC \o "1-3" \h \z \u </w:instrText>
          </w:r>
          <w:r w:rsidRPr="00235450">
            <w:fldChar w:fldCharType="separate"/>
          </w:r>
          <w:hyperlink w:anchor="_Toc54257541" w:history="1">
            <w:r w:rsidR="00E95D03" w:rsidRPr="00E31093">
              <w:rPr>
                <w:rStyle w:val="Hyperlink"/>
                <w:noProof/>
              </w:rPr>
              <w:t>Chapter 1.</w:t>
            </w:r>
            <w:r w:rsidR="00E95D03">
              <w:rPr>
                <w:rFonts w:asciiTheme="minorHAnsi" w:eastAsiaTheme="minorEastAsia" w:hAnsiTheme="minorHAnsi"/>
                <w:noProof/>
                <w:sz w:val="22"/>
                <w:lang w:val="nl-NL" w:eastAsia="nl-NL"/>
              </w:rPr>
              <w:tab/>
            </w:r>
            <w:r w:rsidR="00E95D03" w:rsidRPr="00E31093">
              <w:rPr>
                <w:rStyle w:val="Hyperlink"/>
                <w:noProof/>
              </w:rPr>
              <w:t>Introductory provisions</w:t>
            </w:r>
            <w:r w:rsidR="00E95D03">
              <w:rPr>
                <w:noProof/>
                <w:webHidden/>
              </w:rPr>
              <w:tab/>
            </w:r>
            <w:r w:rsidR="00E95D03">
              <w:rPr>
                <w:noProof/>
                <w:webHidden/>
              </w:rPr>
              <w:fldChar w:fldCharType="begin"/>
            </w:r>
            <w:r w:rsidR="00E95D03">
              <w:rPr>
                <w:noProof/>
                <w:webHidden/>
              </w:rPr>
              <w:instrText xml:space="preserve"> PAGEREF _Toc54257541 \h </w:instrText>
            </w:r>
            <w:r w:rsidR="00E95D03">
              <w:rPr>
                <w:noProof/>
                <w:webHidden/>
              </w:rPr>
            </w:r>
            <w:r w:rsidR="00E95D03">
              <w:rPr>
                <w:noProof/>
                <w:webHidden/>
              </w:rPr>
              <w:fldChar w:fldCharType="separate"/>
            </w:r>
            <w:r w:rsidR="00E95D03">
              <w:rPr>
                <w:noProof/>
                <w:webHidden/>
              </w:rPr>
              <w:t>3</w:t>
            </w:r>
            <w:r w:rsidR="00E95D03">
              <w:rPr>
                <w:noProof/>
                <w:webHidden/>
              </w:rPr>
              <w:fldChar w:fldCharType="end"/>
            </w:r>
          </w:hyperlink>
        </w:p>
        <w:p w14:paraId="6A6DFF43" w14:textId="7A7F5AC6"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42" w:history="1">
            <w:r w:rsidR="00E95D03" w:rsidRPr="00E31093">
              <w:rPr>
                <w:rStyle w:val="Hyperlink"/>
                <w:noProof/>
              </w:rPr>
              <w:t>Chapter 2.</w:t>
            </w:r>
            <w:r w:rsidR="00E95D03">
              <w:rPr>
                <w:rFonts w:asciiTheme="minorHAnsi" w:eastAsiaTheme="minorEastAsia" w:hAnsiTheme="minorHAnsi"/>
                <w:noProof/>
                <w:sz w:val="22"/>
                <w:lang w:val="nl-NL" w:eastAsia="nl-NL"/>
              </w:rPr>
              <w:tab/>
            </w:r>
            <w:r w:rsidR="00E95D03" w:rsidRPr="00E31093">
              <w:rPr>
                <w:rStyle w:val="Hyperlink"/>
                <w:noProof/>
              </w:rPr>
              <w:t>Admission</w:t>
            </w:r>
            <w:r w:rsidR="00E95D03">
              <w:rPr>
                <w:noProof/>
                <w:webHidden/>
              </w:rPr>
              <w:tab/>
            </w:r>
            <w:r w:rsidR="00E95D03">
              <w:rPr>
                <w:noProof/>
                <w:webHidden/>
              </w:rPr>
              <w:fldChar w:fldCharType="begin"/>
            </w:r>
            <w:r w:rsidR="00E95D03">
              <w:rPr>
                <w:noProof/>
                <w:webHidden/>
              </w:rPr>
              <w:instrText xml:space="preserve"> PAGEREF _Toc54257542 \h </w:instrText>
            </w:r>
            <w:r w:rsidR="00E95D03">
              <w:rPr>
                <w:noProof/>
                <w:webHidden/>
              </w:rPr>
            </w:r>
            <w:r w:rsidR="00E95D03">
              <w:rPr>
                <w:noProof/>
                <w:webHidden/>
              </w:rPr>
              <w:fldChar w:fldCharType="separate"/>
            </w:r>
            <w:r w:rsidR="00E95D03">
              <w:rPr>
                <w:noProof/>
                <w:webHidden/>
              </w:rPr>
              <w:t>4</w:t>
            </w:r>
            <w:r w:rsidR="00E95D03">
              <w:rPr>
                <w:noProof/>
                <w:webHidden/>
              </w:rPr>
              <w:fldChar w:fldCharType="end"/>
            </w:r>
          </w:hyperlink>
        </w:p>
        <w:p w14:paraId="18E6A83A" w14:textId="0EA33A51"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43" w:history="1">
            <w:r w:rsidR="00E95D03" w:rsidRPr="00E31093">
              <w:rPr>
                <w:rStyle w:val="Hyperlink"/>
                <w:noProof/>
              </w:rPr>
              <w:t>Chapter 3.</w:t>
            </w:r>
            <w:r w:rsidR="00E95D03">
              <w:rPr>
                <w:rFonts w:asciiTheme="minorHAnsi" w:eastAsiaTheme="minorEastAsia" w:hAnsiTheme="minorHAnsi"/>
                <w:noProof/>
                <w:sz w:val="22"/>
                <w:lang w:val="nl-NL" w:eastAsia="nl-NL"/>
              </w:rPr>
              <w:tab/>
            </w:r>
            <w:r w:rsidR="00E95D03" w:rsidRPr="00E31093">
              <w:rPr>
                <w:rStyle w:val="Hyperlink"/>
                <w:noProof/>
              </w:rPr>
              <w:t>Content, structure and study load of the programme</w:t>
            </w:r>
            <w:r w:rsidR="00E95D03">
              <w:rPr>
                <w:noProof/>
                <w:webHidden/>
              </w:rPr>
              <w:tab/>
            </w:r>
            <w:r w:rsidR="00E95D03">
              <w:rPr>
                <w:noProof/>
                <w:webHidden/>
              </w:rPr>
              <w:fldChar w:fldCharType="begin"/>
            </w:r>
            <w:r w:rsidR="00E95D03">
              <w:rPr>
                <w:noProof/>
                <w:webHidden/>
              </w:rPr>
              <w:instrText xml:space="preserve"> PAGEREF _Toc54257543 \h </w:instrText>
            </w:r>
            <w:r w:rsidR="00E95D03">
              <w:rPr>
                <w:noProof/>
                <w:webHidden/>
              </w:rPr>
            </w:r>
            <w:r w:rsidR="00E95D03">
              <w:rPr>
                <w:noProof/>
                <w:webHidden/>
              </w:rPr>
              <w:fldChar w:fldCharType="separate"/>
            </w:r>
            <w:r w:rsidR="00E95D03">
              <w:rPr>
                <w:noProof/>
                <w:webHidden/>
              </w:rPr>
              <w:t>4</w:t>
            </w:r>
            <w:r w:rsidR="00E95D03">
              <w:rPr>
                <w:noProof/>
                <w:webHidden/>
              </w:rPr>
              <w:fldChar w:fldCharType="end"/>
            </w:r>
          </w:hyperlink>
        </w:p>
        <w:p w14:paraId="63D06859" w14:textId="2C0D27F6"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44" w:history="1">
            <w:r w:rsidR="00E95D03" w:rsidRPr="00E31093">
              <w:rPr>
                <w:rStyle w:val="Hyperlink"/>
                <w:noProof/>
              </w:rPr>
              <w:t>Section 1</w:t>
            </w:r>
            <w:r w:rsidR="00E95D03">
              <w:rPr>
                <w:rFonts w:asciiTheme="minorHAnsi" w:eastAsiaTheme="minorEastAsia" w:hAnsiTheme="minorHAnsi"/>
                <w:noProof/>
                <w:sz w:val="22"/>
                <w:lang w:val="nl-NL" w:eastAsia="nl-NL"/>
              </w:rPr>
              <w:tab/>
            </w:r>
            <w:r w:rsidR="00E95D03" w:rsidRPr="00E31093">
              <w:rPr>
                <w:rStyle w:val="Hyperlink"/>
                <w:noProof/>
              </w:rPr>
              <w:t>General</w:t>
            </w:r>
            <w:r w:rsidR="00E95D03">
              <w:rPr>
                <w:noProof/>
                <w:webHidden/>
              </w:rPr>
              <w:tab/>
            </w:r>
            <w:r w:rsidR="00E95D03">
              <w:rPr>
                <w:noProof/>
                <w:webHidden/>
              </w:rPr>
              <w:fldChar w:fldCharType="begin"/>
            </w:r>
            <w:r w:rsidR="00E95D03">
              <w:rPr>
                <w:noProof/>
                <w:webHidden/>
              </w:rPr>
              <w:instrText xml:space="preserve"> PAGEREF _Toc54257544 \h </w:instrText>
            </w:r>
            <w:r w:rsidR="00E95D03">
              <w:rPr>
                <w:noProof/>
                <w:webHidden/>
              </w:rPr>
            </w:r>
            <w:r w:rsidR="00E95D03">
              <w:rPr>
                <w:noProof/>
                <w:webHidden/>
              </w:rPr>
              <w:fldChar w:fldCharType="separate"/>
            </w:r>
            <w:r w:rsidR="00E95D03">
              <w:rPr>
                <w:noProof/>
                <w:webHidden/>
              </w:rPr>
              <w:t>4</w:t>
            </w:r>
            <w:r w:rsidR="00E95D03">
              <w:rPr>
                <w:noProof/>
                <w:webHidden/>
              </w:rPr>
              <w:fldChar w:fldCharType="end"/>
            </w:r>
          </w:hyperlink>
        </w:p>
        <w:p w14:paraId="4D400FC6" w14:textId="278A3510"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45" w:history="1">
            <w:r w:rsidR="00E95D03" w:rsidRPr="00E31093">
              <w:rPr>
                <w:rStyle w:val="Hyperlink"/>
                <w:noProof/>
              </w:rPr>
              <w:t xml:space="preserve">Section 2 </w:t>
            </w:r>
            <w:r w:rsidR="00E95D03">
              <w:rPr>
                <w:rFonts w:asciiTheme="minorHAnsi" w:eastAsiaTheme="minorEastAsia" w:hAnsiTheme="minorHAnsi"/>
                <w:noProof/>
                <w:sz w:val="22"/>
                <w:lang w:val="nl-NL" w:eastAsia="nl-NL"/>
              </w:rPr>
              <w:tab/>
            </w:r>
            <w:r w:rsidR="00E95D03" w:rsidRPr="00E31093">
              <w:rPr>
                <w:rStyle w:val="Hyperlink"/>
                <w:noProof/>
              </w:rPr>
              <w:t>General structure and study load of the programme</w:t>
            </w:r>
            <w:r w:rsidR="00E95D03">
              <w:rPr>
                <w:noProof/>
                <w:webHidden/>
              </w:rPr>
              <w:tab/>
            </w:r>
            <w:r w:rsidR="00E95D03">
              <w:rPr>
                <w:noProof/>
                <w:webHidden/>
              </w:rPr>
              <w:fldChar w:fldCharType="begin"/>
            </w:r>
            <w:r w:rsidR="00E95D03">
              <w:rPr>
                <w:noProof/>
                <w:webHidden/>
              </w:rPr>
              <w:instrText xml:space="preserve"> PAGEREF _Toc54257545 \h </w:instrText>
            </w:r>
            <w:r w:rsidR="00E95D03">
              <w:rPr>
                <w:noProof/>
                <w:webHidden/>
              </w:rPr>
            </w:r>
            <w:r w:rsidR="00E95D03">
              <w:rPr>
                <w:noProof/>
                <w:webHidden/>
              </w:rPr>
              <w:fldChar w:fldCharType="separate"/>
            </w:r>
            <w:r w:rsidR="00E95D03">
              <w:rPr>
                <w:noProof/>
                <w:webHidden/>
              </w:rPr>
              <w:t>5</w:t>
            </w:r>
            <w:r w:rsidR="00E95D03">
              <w:rPr>
                <w:noProof/>
                <w:webHidden/>
              </w:rPr>
              <w:fldChar w:fldCharType="end"/>
            </w:r>
          </w:hyperlink>
        </w:p>
        <w:p w14:paraId="2DA9F8EC" w14:textId="110A290A"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46" w:history="1">
            <w:r w:rsidR="00E95D03" w:rsidRPr="00E31093">
              <w:rPr>
                <w:rStyle w:val="Hyperlink"/>
                <w:noProof/>
              </w:rPr>
              <w:t>Section 3</w:t>
            </w:r>
            <w:r w:rsidR="00E95D03">
              <w:rPr>
                <w:rFonts w:asciiTheme="minorHAnsi" w:eastAsiaTheme="minorEastAsia" w:hAnsiTheme="minorHAnsi"/>
                <w:noProof/>
                <w:sz w:val="22"/>
                <w:lang w:val="nl-NL" w:eastAsia="nl-NL"/>
              </w:rPr>
              <w:tab/>
            </w:r>
            <w:r w:rsidR="00E95D03" w:rsidRPr="00E31093">
              <w:rPr>
                <w:rStyle w:val="Hyperlink"/>
                <w:noProof/>
              </w:rPr>
              <w:t xml:space="preserve"> Composition of the individual examination programme</w:t>
            </w:r>
            <w:r w:rsidR="00E95D03">
              <w:rPr>
                <w:noProof/>
                <w:webHidden/>
              </w:rPr>
              <w:tab/>
            </w:r>
            <w:r w:rsidR="00E95D03">
              <w:rPr>
                <w:noProof/>
                <w:webHidden/>
              </w:rPr>
              <w:fldChar w:fldCharType="begin"/>
            </w:r>
            <w:r w:rsidR="00E95D03">
              <w:rPr>
                <w:noProof/>
                <w:webHidden/>
              </w:rPr>
              <w:instrText xml:space="preserve"> PAGEREF _Toc54257546 \h </w:instrText>
            </w:r>
            <w:r w:rsidR="00E95D03">
              <w:rPr>
                <w:noProof/>
                <w:webHidden/>
              </w:rPr>
            </w:r>
            <w:r w:rsidR="00E95D03">
              <w:rPr>
                <w:noProof/>
                <w:webHidden/>
              </w:rPr>
              <w:fldChar w:fldCharType="separate"/>
            </w:r>
            <w:r w:rsidR="00E95D03">
              <w:rPr>
                <w:noProof/>
                <w:webHidden/>
              </w:rPr>
              <w:t>5</w:t>
            </w:r>
            <w:r w:rsidR="00E95D03">
              <w:rPr>
                <w:noProof/>
                <w:webHidden/>
              </w:rPr>
              <w:fldChar w:fldCharType="end"/>
            </w:r>
          </w:hyperlink>
        </w:p>
        <w:p w14:paraId="6CBF2EFA" w14:textId="0A2EA5D6"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47" w:history="1">
            <w:r w:rsidR="00E95D03" w:rsidRPr="00E31093">
              <w:rPr>
                <w:rStyle w:val="Hyperlink"/>
                <w:noProof/>
              </w:rPr>
              <w:t xml:space="preserve">Section 4 </w:t>
            </w:r>
            <w:r w:rsidR="00E95D03">
              <w:rPr>
                <w:rFonts w:asciiTheme="minorHAnsi" w:eastAsiaTheme="minorEastAsia" w:hAnsiTheme="minorHAnsi"/>
                <w:noProof/>
                <w:sz w:val="22"/>
                <w:lang w:val="nl-NL" w:eastAsia="nl-NL"/>
              </w:rPr>
              <w:tab/>
            </w:r>
            <w:r w:rsidR="00E95D03" w:rsidRPr="00E31093">
              <w:rPr>
                <w:rStyle w:val="Hyperlink"/>
                <w:noProof/>
              </w:rPr>
              <w:t>Flexible master’s programme</w:t>
            </w:r>
            <w:r w:rsidR="00E95D03">
              <w:rPr>
                <w:noProof/>
                <w:webHidden/>
              </w:rPr>
              <w:tab/>
            </w:r>
            <w:r w:rsidR="00E95D03">
              <w:rPr>
                <w:noProof/>
                <w:webHidden/>
              </w:rPr>
              <w:fldChar w:fldCharType="begin"/>
            </w:r>
            <w:r w:rsidR="00E95D03">
              <w:rPr>
                <w:noProof/>
                <w:webHidden/>
              </w:rPr>
              <w:instrText xml:space="preserve"> PAGEREF _Toc54257547 \h </w:instrText>
            </w:r>
            <w:r w:rsidR="00E95D03">
              <w:rPr>
                <w:noProof/>
                <w:webHidden/>
              </w:rPr>
            </w:r>
            <w:r w:rsidR="00E95D03">
              <w:rPr>
                <w:noProof/>
                <w:webHidden/>
              </w:rPr>
              <w:fldChar w:fldCharType="separate"/>
            </w:r>
            <w:r w:rsidR="00E95D03">
              <w:rPr>
                <w:noProof/>
                <w:webHidden/>
              </w:rPr>
              <w:t>5</w:t>
            </w:r>
            <w:r w:rsidR="00E95D03">
              <w:rPr>
                <w:noProof/>
                <w:webHidden/>
              </w:rPr>
              <w:fldChar w:fldCharType="end"/>
            </w:r>
          </w:hyperlink>
        </w:p>
        <w:p w14:paraId="7D7A2454" w14:textId="43EA8AC8"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48" w:history="1">
            <w:r w:rsidR="00E95D03" w:rsidRPr="00E31093">
              <w:rPr>
                <w:rStyle w:val="Hyperlink"/>
                <w:noProof/>
              </w:rPr>
              <w:t>Section 5</w:t>
            </w:r>
            <w:r w:rsidR="00E95D03">
              <w:rPr>
                <w:rFonts w:asciiTheme="minorHAnsi" w:eastAsiaTheme="minorEastAsia" w:hAnsiTheme="minorHAnsi"/>
                <w:noProof/>
                <w:sz w:val="22"/>
                <w:lang w:val="nl-NL" w:eastAsia="nl-NL"/>
              </w:rPr>
              <w:tab/>
            </w:r>
            <w:r w:rsidR="00E95D03" w:rsidRPr="00E31093">
              <w:rPr>
                <w:rStyle w:val="Hyperlink"/>
                <w:noProof/>
              </w:rPr>
              <w:t>Graduating in two or more programmes at master’s level</w:t>
            </w:r>
            <w:r w:rsidR="00E95D03">
              <w:rPr>
                <w:noProof/>
                <w:webHidden/>
              </w:rPr>
              <w:tab/>
            </w:r>
            <w:r w:rsidR="00E95D03">
              <w:rPr>
                <w:noProof/>
                <w:webHidden/>
              </w:rPr>
              <w:fldChar w:fldCharType="begin"/>
            </w:r>
            <w:r w:rsidR="00E95D03">
              <w:rPr>
                <w:noProof/>
                <w:webHidden/>
              </w:rPr>
              <w:instrText xml:space="preserve"> PAGEREF _Toc54257548 \h </w:instrText>
            </w:r>
            <w:r w:rsidR="00E95D03">
              <w:rPr>
                <w:noProof/>
                <w:webHidden/>
              </w:rPr>
            </w:r>
            <w:r w:rsidR="00E95D03">
              <w:rPr>
                <w:noProof/>
                <w:webHidden/>
              </w:rPr>
              <w:fldChar w:fldCharType="separate"/>
            </w:r>
            <w:r w:rsidR="00E95D03">
              <w:rPr>
                <w:noProof/>
                <w:webHidden/>
              </w:rPr>
              <w:t>5</w:t>
            </w:r>
            <w:r w:rsidR="00E95D03">
              <w:rPr>
                <w:noProof/>
                <w:webHidden/>
              </w:rPr>
              <w:fldChar w:fldCharType="end"/>
            </w:r>
          </w:hyperlink>
        </w:p>
        <w:p w14:paraId="51D09FED" w14:textId="0FFAD703"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49" w:history="1">
            <w:r w:rsidR="00E95D03" w:rsidRPr="00E31093">
              <w:rPr>
                <w:rStyle w:val="Hyperlink"/>
                <w:noProof/>
              </w:rPr>
              <w:t>Chapter 4.</w:t>
            </w:r>
            <w:r w:rsidR="00E95D03">
              <w:rPr>
                <w:rFonts w:asciiTheme="minorHAnsi" w:eastAsiaTheme="minorEastAsia" w:hAnsiTheme="minorHAnsi"/>
                <w:noProof/>
                <w:sz w:val="22"/>
                <w:lang w:val="nl-NL" w:eastAsia="nl-NL"/>
              </w:rPr>
              <w:tab/>
            </w:r>
            <w:r w:rsidR="00E95D03" w:rsidRPr="00E31093">
              <w:rPr>
                <w:rStyle w:val="Hyperlink"/>
                <w:noProof/>
              </w:rPr>
              <w:t>Courses (study units)</w:t>
            </w:r>
            <w:r w:rsidR="00E95D03">
              <w:rPr>
                <w:noProof/>
                <w:webHidden/>
              </w:rPr>
              <w:tab/>
            </w:r>
            <w:r w:rsidR="00E95D03">
              <w:rPr>
                <w:noProof/>
                <w:webHidden/>
              </w:rPr>
              <w:fldChar w:fldCharType="begin"/>
            </w:r>
            <w:r w:rsidR="00E95D03">
              <w:rPr>
                <w:noProof/>
                <w:webHidden/>
              </w:rPr>
              <w:instrText xml:space="preserve"> PAGEREF _Toc54257549 \h </w:instrText>
            </w:r>
            <w:r w:rsidR="00E95D03">
              <w:rPr>
                <w:noProof/>
                <w:webHidden/>
              </w:rPr>
            </w:r>
            <w:r w:rsidR="00E95D03">
              <w:rPr>
                <w:noProof/>
                <w:webHidden/>
              </w:rPr>
              <w:fldChar w:fldCharType="separate"/>
            </w:r>
            <w:r w:rsidR="00E95D03">
              <w:rPr>
                <w:noProof/>
                <w:webHidden/>
              </w:rPr>
              <w:t>6</w:t>
            </w:r>
            <w:r w:rsidR="00E95D03">
              <w:rPr>
                <w:noProof/>
                <w:webHidden/>
              </w:rPr>
              <w:fldChar w:fldCharType="end"/>
            </w:r>
          </w:hyperlink>
        </w:p>
        <w:p w14:paraId="4B943937" w14:textId="1D2B6A26"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50" w:history="1">
            <w:r w:rsidR="00E95D03" w:rsidRPr="00E31093">
              <w:rPr>
                <w:rStyle w:val="Hyperlink"/>
                <w:noProof/>
              </w:rPr>
              <w:t>Chapter 5.</w:t>
            </w:r>
            <w:r w:rsidR="00E95D03">
              <w:rPr>
                <w:rFonts w:asciiTheme="minorHAnsi" w:eastAsiaTheme="minorEastAsia" w:hAnsiTheme="minorHAnsi"/>
                <w:noProof/>
                <w:sz w:val="22"/>
                <w:lang w:val="nl-NL" w:eastAsia="nl-NL"/>
              </w:rPr>
              <w:tab/>
            </w:r>
            <w:r w:rsidR="00E95D03" w:rsidRPr="00E31093">
              <w:rPr>
                <w:rStyle w:val="Hyperlink"/>
                <w:noProof/>
              </w:rPr>
              <w:t>Interim examinations and resits</w:t>
            </w:r>
            <w:r w:rsidR="00E95D03">
              <w:rPr>
                <w:noProof/>
                <w:webHidden/>
              </w:rPr>
              <w:tab/>
            </w:r>
            <w:r w:rsidR="00E95D03">
              <w:rPr>
                <w:noProof/>
                <w:webHidden/>
              </w:rPr>
              <w:fldChar w:fldCharType="begin"/>
            </w:r>
            <w:r w:rsidR="00E95D03">
              <w:rPr>
                <w:noProof/>
                <w:webHidden/>
              </w:rPr>
              <w:instrText xml:space="preserve"> PAGEREF _Toc54257550 \h </w:instrText>
            </w:r>
            <w:r w:rsidR="00E95D03">
              <w:rPr>
                <w:noProof/>
                <w:webHidden/>
              </w:rPr>
            </w:r>
            <w:r w:rsidR="00E95D03">
              <w:rPr>
                <w:noProof/>
                <w:webHidden/>
              </w:rPr>
              <w:fldChar w:fldCharType="separate"/>
            </w:r>
            <w:r w:rsidR="00E95D03">
              <w:rPr>
                <w:noProof/>
                <w:webHidden/>
              </w:rPr>
              <w:t>8</w:t>
            </w:r>
            <w:r w:rsidR="00E95D03">
              <w:rPr>
                <w:noProof/>
                <w:webHidden/>
              </w:rPr>
              <w:fldChar w:fldCharType="end"/>
            </w:r>
          </w:hyperlink>
        </w:p>
        <w:p w14:paraId="1063BEF6" w14:textId="1AC53E1C"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51" w:history="1">
            <w:r w:rsidR="00E95D03" w:rsidRPr="00E31093">
              <w:rPr>
                <w:rStyle w:val="Hyperlink"/>
                <w:noProof/>
              </w:rPr>
              <w:t>Section 1</w:t>
            </w:r>
            <w:r w:rsidR="00E95D03">
              <w:rPr>
                <w:rFonts w:asciiTheme="minorHAnsi" w:eastAsiaTheme="minorEastAsia" w:hAnsiTheme="minorHAnsi"/>
                <w:noProof/>
                <w:sz w:val="22"/>
                <w:lang w:val="nl-NL" w:eastAsia="nl-NL"/>
              </w:rPr>
              <w:tab/>
            </w:r>
            <w:r w:rsidR="00E95D03" w:rsidRPr="00E31093">
              <w:rPr>
                <w:rStyle w:val="Hyperlink"/>
                <w:noProof/>
              </w:rPr>
              <w:t>Resit possibility</w:t>
            </w:r>
            <w:r w:rsidR="00E95D03">
              <w:rPr>
                <w:noProof/>
                <w:webHidden/>
              </w:rPr>
              <w:tab/>
            </w:r>
            <w:r w:rsidR="00E95D03">
              <w:rPr>
                <w:noProof/>
                <w:webHidden/>
              </w:rPr>
              <w:fldChar w:fldCharType="begin"/>
            </w:r>
            <w:r w:rsidR="00E95D03">
              <w:rPr>
                <w:noProof/>
                <w:webHidden/>
              </w:rPr>
              <w:instrText xml:space="preserve"> PAGEREF _Toc54257551 \h </w:instrText>
            </w:r>
            <w:r w:rsidR="00E95D03">
              <w:rPr>
                <w:noProof/>
                <w:webHidden/>
              </w:rPr>
            </w:r>
            <w:r w:rsidR="00E95D03">
              <w:rPr>
                <w:noProof/>
                <w:webHidden/>
              </w:rPr>
              <w:fldChar w:fldCharType="separate"/>
            </w:r>
            <w:r w:rsidR="00E95D03">
              <w:rPr>
                <w:noProof/>
                <w:webHidden/>
              </w:rPr>
              <w:t>8</w:t>
            </w:r>
            <w:r w:rsidR="00E95D03">
              <w:rPr>
                <w:noProof/>
                <w:webHidden/>
              </w:rPr>
              <w:fldChar w:fldCharType="end"/>
            </w:r>
          </w:hyperlink>
        </w:p>
        <w:p w14:paraId="5DA19DE2" w14:textId="1892AB32"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52" w:history="1">
            <w:r w:rsidR="00E95D03" w:rsidRPr="00E31093">
              <w:rPr>
                <w:rStyle w:val="Hyperlink"/>
                <w:noProof/>
              </w:rPr>
              <w:t>Section 2</w:t>
            </w:r>
            <w:r w:rsidR="00E95D03">
              <w:rPr>
                <w:rFonts w:asciiTheme="minorHAnsi" w:eastAsiaTheme="minorEastAsia" w:hAnsiTheme="minorHAnsi"/>
                <w:noProof/>
                <w:sz w:val="22"/>
                <w:lang w:val="nl-NL" w:eastAsia="nl-NL"/>
              </w:rPr>
              <w:tab/>
            </w:r>
            <w:r w:rsidR="00E95D03" w:rsidRPr="00E31093">
              <w:rPr>
                <w:rStyle w:val="Hyperlink"/>
                <w:noProof/>
              </w:rPr>
              <w:t>Examination material</w:t>
            </w:r>
            <w:r w:rsidR="00E95D03">
              <w:rPr>
                <w:noProof/>
                <w:webHidden/>
              </w:rPr>
              <w:tab/>
            </w:r>
            <w:r w:rsidR="00E95D03">
              <w:rPr>
                <w:noProof/>
                <w:webHidden/>
              </w:rPr>
              <w:fldChar w:fldCharType="begin"/>
            </w:r>
            <w:r w:rsidR="00E95D03">
              <w:rPr>
                <w:noProof/>
                <w:webHidden/>
              </w:rPr>
              <w:instrText xml:space="preserve"> PAGEREF _Toc54257552 \h </w:instrText>
            </w:r>
            <w:r w:rsidR="00E95D03">
              <w:rPr>
                <w:noProof/>
                <w:webHidden/>
              </w:rPr>
            </w:r>
            <w:r w:rsidR="00E95D03">
              <w:rPr>
                <w:noProof/>
                <w:webHidden/>
              </w:rPr>
              <w:fldChar w:fldCharType="separate"/>
            </w:r>
            <w:r w:rsidR="00E95D03">
              <w:rPr>
                <w:noProof/>
                <w:webHidden/>
              </w:rPr>
              <w:t>8</w:t>
            </w:r>
            <w:r w:rsidR="00E95D03">
              <w:rPr>
                <w:noProof/>
                <w:webHidden/>
              </w:rPr>
              <w:fldChar w:fldCharType="end"/>
            </w:r>
          </w:hyperlink>
        </w:p>
        <w:p w14:paraId="1C32E1FD" w14:textId="6A47A76F"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53" w:history="1">
            <w:r w:rsidR="00E95D03" w:rsidRPr="00E31093">
              <w:rPr>
                <w:rStyle w:val="Hyperlink"/>
                <w:noProof/>
              </w:rPr>
              <w:t>Section 3</w:t>
            </w:r>
            <w:r w:rsidR="00E95D03">
              <w:rPr>
                <w:rFonts w:asciiTheme="minorHAnsi" w:eastAsiaTheme="minorEastAsia" w:hAnsiTheme="minorHAnsi"/>
                <w:noProof/>
                <w:sz w:val="22"/>
                <w:lang w:val="nl-NL" w:eastAsia="nl-NL"/>
              </w:rPr>
              <w:tab/>
            </w:r>
            <w:r w:rsidR="00E95D03" w:rsidRPr="00E31093">
              <w:rPr>
                <w:rStyle w:val="Hyperlink"/>
                <w:noProof/>
              </w:rPr>
              <w:t>Type of examination and scheduling</w:t>
            </w:r>
            <w:r w:rsidR="00E95D03">
              <w:rPr>
                <w:noProof/>
                <w:webHidden/>
              </w:rPr>
              <w:tab/>
            </w:r>
            <w:r w:rsidR="00E95D03">
              <w:rPr>
                <w:noProof/>
                <w:webHidden/>
              </w:rPr>
              <w:fldChar w:fldCharType="begin"/>
            </w:r>
            <w:r w:rsidR="00E95D03">
              <w:rPr>
                <w:noProof/>
                <w:webHidden/>
              </w:rPr>
              <w:instrText xml:space="preserve"> PAGEREF _Toc54257553 \h </w:instrText>
            </w:r>
            <w:r w:rsidR="00E95D03">
              <w:rPr>
                <w:noProof/>
                <w:webHidden/>
              </w:rPr>
            </w:r>
            <w:r w:rsidR="00E95D03">
              <w:rPr>
                <w:noProof/>
                <w:webHidden/>
              </w:rPr>
              <w:fldChar w:fldCharType="separate"/>
            </w:r>
            <w:r w:rsidR="00E95D03">
              <w:rPr>
                <w:noProof/>
                <w:webHidden/>
              </w:rPr>
              <w:t>8</w:t>
            </w:r>
            <w:r w:rsidR="00E95D03">
              <w:rPr>
                <w:noProof/>
                <w:webHidden/>
              </w:rPr>
              <w:fldChar w:fldCharType="end"/>
            </w:r>
          </w:hyperlink>
        </w:p>
        <w:p w14:paraId="67145630" w14:textId="7ED27007"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54" w:history="1">
            <w:r w:rsidR="00E95D03" w:rsidRPr="00E31093">
              <w:rPr>
                <w:rStyle w:val="Hyperlink"/>
                <w:noProof/>
              </w:rPr>
              <w:t>Section 4</w:t>
            </w:r>
            <w:r w:rsidR="00E95D03">
              <w:rPr>
                <w:rFonts w:asciiTheme="minorHAnsi" w:eastAsiaTheme="minorEastAsia" w:hAnsiTheme="minorHAnsi"/>
                <w:noProof/>
                <w:sz w:val="22"/>
                <w:lang w:val="nl-NL" w:eastAsia="nl-NL"/>
              </w:rPr>
              <w:tab/>
            </w:r>
            <w:r w:rsidR="00E95D03" w:rsidRPr="00E31093">
              <w:rPr>
                <w:rStyle w:val="Hyperlink"/>
                <w:noProof/>
              </w:rPr>
              <w:t>Assessing, determining and announcing results</w:t>
            </w:r>
            <w:r w:rsidR="00E95D03">
              <w:rPr>
                <w:noProof/>
                <w:webHidden/>
              </w:rPr>
              <w:tab/>
            </w:r>
            <w:r w:rsidR="00E95D03">
              <w:rPr>
                <w:noProof/>
                <w:webHidden/>
              </w:rPr>
              <w:fldChar w:fldCharType="begin"/>
            </w:r>
            <w:r w:rsidR="00E95D03">
              <w:rPr>
                <w:noProof/>
                <w:webHidden/>
              </w:rPr>
              <w:instrText xml:space="preserve"> PAGEREF _Toc54257554 \h </w:instrText>
            </w:r>
            <w:r w:rsidR="00E95D03">
              <w:rPr>
                <w:noProof/>
                <w:webHidden/>
              </w:rPr>
            </w:r>
            <w:r w:rsidR="00E95D03">
              <w:rPr>
                <w:noProof/>
                <w:webHidden/>
              </w:rPr>
              <w:fldChar w:fldCharType="separate"/>
            </w:r>
            <w:r w:rsidR="00E95D03">
              <w:rPr>
                <w:noProof/>
                <w:webHidden/>
              </w:rPr>
              <w:t>9</w:t>
            </w:r>
            <w:r w:rsidR="00E95D03">
              <w:rPr>
                <w:noProof/>
                <w:webHidden/>
              </w:rPr>
              <w:fldChar w:fldCharType="end"/>
            </w:r>
          </w:hyperlink>
        </w:p>
        <w:p w14:paraId="123B60E2" w14:textId="598EC57E"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55" w:history="1">
            <w:r w:rsidR="00E95D03" w:rsidRPr="00E31093">
              <w:rPr>
                <w:rStyle w:val="Hyperlink"/>
                <w:noProof/>
              </w:rPr>
              <w:t>Section 5</w:t>
            </w:r>
            <w:r w:rsidR="00E95D03">
              <w:rPr>
                <w:rFonts w:asciiTheme="minorHAnsi" w:eastAsiaTheme="minorEastAsia" w:hAnsiTheme="minorHAnsi"/>
                <w:noProof/>
                <w:sz w:val="22"/>
                <w:lang w:val="nl-NL" w:eastAsia="nl-NL"/>
              </w:rPr>
              <w:tab/>
            </w:r>
            <w:r w:rsidR="00E95D03" w:rsidRPr="00E31093">
              <w:rPr>
                <w:rStyle w:val="Hyperlink"/>
                <w:noProof/>
              </w:rPr>
              <w:t>Right of inspection and discussion</w:t>
            </w:r>
            <w:r w:rsidR="00E95D03">
              <w:rPr>
                <w:noProof/>
                <w:webHidden/>
              </w:rPr>
              <w:tab/>
            </w:r>
            <w:r w:rsidR="00E95D03">
              <w:rPr>
                <w:noProof/>
                <w:webHidden/>
              </w:rPr>
              <w:fldChar w:fldCharType="begin"/>
            </w:r>
            <w:r w:rsidR="00E95D03">
              <w:rPr>
                <w:noProof/>
                <w:webHidden/>
              </w:rPr>
              <w:instrText xml:space="preserve"> PAGEREF _Toc54257555 \h </w:instrText>
            </w:r>
            <w:r w:rsidR="00E95D03">
              <w:rPr>
                <w:noProof/>
                <w:webHidden/>
              </w:rPr>
            </w:r>
            <w:r w:rsidR="00E95D03">
              <w:rPr>
                <w:noProof/>
                <w:webHidden/>
              </w:rPr>
              <w:fldChar w:fldCharType="separate"/>
            </w:r>
            <w:r w:rsidR="00E95D03">
              <w:rPr>
                <w:noProof/>
                <w:webHidden/>
              </w:rPr>
              <w:t>9</w:t>
            </w:r>
            <w:r w:rsidR="00E95D03">
              <w:rPr>
                <w:noProof/>
                <w:webHidden/>
              </w:rPr>
              <w:fldChar w:fldCharType="end"/>
            </w:r>
          </w:hyperlink>
        </w:p>
        <w:p w14:paraId="0B0071BB" w14:textId="3695DA3E" w:rsidR="00E95D03" w:rsidRDefault="00F44A74">
          <w:pPr>
            <w:pStyle w:val="Inhopg2"/>
            <w:tabs>
              <w:tab w:val="left" w:pos="1320"/>
              <w:tab w:val="right" w:leader="dot" w:pos="9062"/>
            </w:tabs>
            <w:rPr>
              <w:rFonts w:asciiTheme="minorHAnsi" w:eastAsiaTheme="minorEastAsia" w:hAnsiTheme="minorHAnsi"/>
              <w:noProof/>
              <w:sz w:val="22"/>
              <w:lang w:val="nl-NL" w:eastAsia="nl-NL"/>
            </w:rPr>
          </w:pPr>
          <w:hyperlink w:anchor="_Toc54257556" w:history="1">
            <w:r w:rsidR="00E95D03" w:rsidRPr="00E31093">
              <w:rPr>
                <w:rStyle w:val="Hyperlink"/>
                <w:noProof/>
              </w:rPr>
              <w:t>Section 6</w:t>
            </w:r>
            <w:r w:rsidR="00E95D03">
              <w:rPr>
                <w:rFonts w:asciiTheme="minorHAnsi" w:eastAsiaTheme="minorEastAsia" w:hAnsiTheme="minorHAnsi"/>
                <w:noProof/>
                <w:sz w:val="22"/>
                <w:lang w:val="nl-NL" w:eastAsia="nl-NL"/>
              </w:rPr>
              <w:tab/>
            </w:r>
            <w:r w:rsidR="00E95D03" w:rsidRPr="00E31093">
              <w:rPr>
                <w:rStyle w:val="Hyperlink"/>
                <w:noProof/>
              </w:rPr>
              <w:t>Validity period for results of examinations and partial examinations</w:t>
            </w:r>
            <w:r w:rsidR="00E95D03">
              <w:rPr>
                <w:noProof/>
                <w:webHidden/>
              </w:rPr>
              <w:tab/>
            </w:r>
            <w:r w:rsidR="00E95D03">
              <w:rPr>
                <w:noProof/>
                <w:webHidden/>
              </w:rPr>
              <w:fldChar w:fldCharType="begin"/>
            </w:r>
            <w:r w:rsidR="00E95D03">
              <w:rPr>
                <w:noProof/>
                <w:webHidden/>
              </w:rPr>
              <w:instrText xml:space="preserve"> PAGEREF _Toc54257556 \h </w:instrText>
            </w:r>
            <w:r w:rsidR="00E95D03">
              <w:rPr>
                <w:noProof/>
                <w:webHidden/>
              </w:rPr>
            </w:r>
            <w:r w:rsidR="00E95D03">
              <w:rPr>
                <w:noProof/>
                <w:webHidden/>
              </w:rPr>
              <w:fldChar w:fldCharType="separate"/>
            </w:r>
            <w:r w:rsidR="00E95D03">
              <w:rPr>
                <w:noProof/>
                <w:webHidden/>
              </w:rPr>
              <w:t>10</w:t>
            </w:r>
            <w:r w:rsidR="00E95D03">
              <w:rPr>
                <w:noProof/>
                <w:webHidden/>
              </w:rPr>
              <w:fldChar w:fldCharType="end"/>
            </w:r>
          </w:hyperlink>
        </w:p>
        <w:p w14:paraId="2B17CC2E" w14:textId="509836A6"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57" w:history="1">
            <w:r w:rsidR="00E95D03" w:rsidRPr="00E31093">
              <w:rPr>
                <w:rStyle w:val="Hyperlink"/>
                <w:noProof/>
              </w:rPr>
              <w:t>Chapter 6.</w:t>
            </w:r>
            <w:r w:rsidR="00E95D03">
              <w:rPr>
                <w:rFonts w:asciiTheme="minorHAnsi" w:eastAsiaTheme="minorEastAsia" w:hAnsiTheme="minorHAnsi"/>
                <w:noProof/>
                <w:sz w:val="22"/>
                <w:lang w:val="nl-NL" w:eastAsia="nl-NL"/>
              </w:rPr>
              <w:tab/>
            </w:r>
            <w:r w:rsidR="00E95D03" w:rsidRPr="00E31093">
              <w:rPr>
                <w:rStyle w:val="Hyperlink"/>
                <w:noProof/>
              </w:rPr>
              <w:t>Exemptions from examinations and practical assignments</w:t>
            </w:r>
            <w:r w:rsidR="00E95D03">
              <w:rPr>
                <w:noProof/>
                <w:webHidden/>
              </w:rPr>
              <w:tab/>
            </w:r>
            <w:r w:rsidR="00E95D03">
              <w:rPr>
                <w:noProof/>
                <w:webHidden/>
              </w:rPr>
              <w:fldChar w:fldCharType="begin"/>
            </w:r>
            <w:r w:rsidR="00E95D03">
              <w:rPr>
                <w:noProof/>
                <w:webHidden/>
              </w:rPr>
              <w:instrText xml:space="preserve"> PAGEREF _Toc54257557 \h </w:instrText>
            </w:r>
            <w:r w:rsidR="00E95D03">
              <w:rPr>
                <w:noProof/>
                <w:webHidden/>
              </w:rPr>
            </w:r>
            <w:r w:rsidR="00E95D03">
              <w:rPr>
                <w:noProof/>
                <w:webHidden/>
              </w:rPr>
              <w:fldChar w:fldCharType="separate"/>
            </w:r>
            <w:r w:rsidR="00E95D03">
              <w:rPr>
                <w:noProof/>
                <w:webHidden/>
              </w:rPr>
              <w:t>10</w:t>
            </w:r>
            <w:r w:rsidR="00E95D03">
              <w:rPr>
                <w:noProof/>
                <w:webHidden/>
              </w:rPr>
              <w:fldChar w:fldCharType="end"/>
            </w:r>
          </w:hyperlink>
        </w:p>
        <w:p w14:paraId="4B00D1DC" w14:textId="069BA8C8"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58" w:history="1">
            <w:r w:rsidR="00E95D03" w:rsidRPr="00E31093">
              <w:rPr>
                <w:rStyle w:val="Hyperlink"/>
                <w:noProof/>
              </w:rPr>
              <w:t>Chapter 7.</w:t>
            </w:r>
            <w:r w:rsidR="00E95D03">
              <w:rPr>
                <w:rFonts w:asciiTheme="minorHAnsi" w:eastAsiaTheme="minorEastAsia" w:hAnsiTheme="minorHAnsi"/>
                <w:noProof/>
                <w:sz w:val="22"/>
                <w:lang w:val="nl-NL" w:eastAsia="nl-NL"/>
              </w:rPr>
              <w:tab/>
            </w:r>
            <w:r w:rsidR="00E95D03" w:rsidRPr="00E31093">
              <w:rPr>
                <w:rStyle w:val="Hyperlink"/>
                <w:noProof/>
              </w:rPr>
              <w:t>Final examinations, diploma</w:t>
            </w:r>
            <w:r w:rsidR="00E95D03">
              <w:rPr>
                <w:noProof/>
                <w:webHidden/>
              </w:rPr>
              <w:tab/>
            </w:r>
            <w:r w:rsidR="00E95D03">
              <w:rPr>
                <w:noProof/>
                <w:webHidden/>
              </w:rPr>
              <w:fldChar w:fldCharType="begin"/>
            </w:r>
            <w:r w:rsidR="00E95D03">
              <w:rPr>
                <w:noProof/>
                <w:webHidden/>
              </w:rPr>
              <w:instrText xml:space="preserve"> PAGEREF _Toc54257558 \h </w:instrText>
            </w:r>
            <w:r w:rsidR="00E95D03">
              <w:rPr>
                <w:noProof/>
                <w:webHidden/>
              </w:rPr>
            </w:r>
            <w:r w:rsidR="00E95D03">
              <w:rPr>
                <w:noProof/>
                <w:webHidden/>
              </w:rPr>
              <w:fldChar w:fldCharType="separate"/>
            </w:r>
            <w:r w:rsidR="00E95D03">
              <w:rPr>
                <w:noProof/>
                <w:webHidden/>
              </w:rPr>
              <w:t>11</w:t>
            </w:r>
            <w:r w:rsidR="00E95D03">
              <w:rPr>
                <w:noProof/>
                <w:webHidden/>
              </w:rPr>
              <w:fldChar w:fldCharType="end"/>
            </w:r>
          </w:hyperlink>
        </w:p>
        <w:p w14:paraId="797FB3E5" w14:textId="24C37722"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59" w:history="1">
            <w:r w:rsidR="00E95D03" w:rsidRPr="00E31093">
              <w:rPr>
                <w:rStyle w:val="Hyperlink"/>
                <w:noProof/>
              </w:rPr>
              <w:t>Chapter 8.</w:t>
            </w:r>
            <w:r w:rsidR="00E95D03">
              <w:rPr>
                <w:rFonts w:asciiTheme="minorHAnsi" w:eastAsiaTheme="minorEastAsia" w:hAnsiTheme="minorHAnsi"/>
                <w:noProof/>
                <w:sz w:val="22"/>
                <w:lang w:val="nl-NL" w:eastAsia="nl-NL"/>
              </w:rPr>
              <w:tab/>
            </w:r>
            <w:r w:rsidR="00E95D03" w:rsidRPr="00E31093">
              <w:rPr>
                <w:rStyle w:val="Hyperlink"/>
                <w:noProof/>
              </w:rPr>
              <w:t>Language used for education and interim examinations</w:t>
            </w:r>
            <w:r w:rsidR="00E95D03">
              <w:rPr>
                <w:noProof/>
                <w:webHidden/>
              </w:rPr>
              <w:tab/>
            </w:r>
            <w:r w:rsidR="00E95D03">
              <w:rPr>
                <w:noProof/>
                <w:webHidden/>
              </w:rPr>
              <w:fldChar w:fldCharType="begin"/>
            </w:r>
            <w:r w:rsidR="00E95D03">
              <w:rPr>
                <w:noProof/>
                <w:webHidden/>
              </w:rPr>
              <w:instrText xml:space="preserve"> PAGEREF _Toc54257559 \h </w:instrText>
            </w:r>
            <w:r w:rsidR="00E95D03">
              <w:rPr>
                <w:noProof/>
                <w:webHidden/>
              </w:rPr>
            </w:r>
            <w:r w:rsidR="00E95D03">
              <w:rPr>
                <w:noProof/>
                <w:webHidden/>
              </w:rPr>
              <w:fldChar w:fldCharType="separate"/>
            </w:r>
            <w:r w:rsidR="00E95D03">
              <w:rPr>
                <w:noProof/>
                <w:webHidden/>
              </w:rPr>
              <w:t>11</w:t>
            </w:r>
            <w:r w:rsidR="00E95D03">
              <w:rPr>
                <w:noProof/>
                <w:webHidden/>
              </w:rPr>
              <w:fldChar w:fldCharType="end"/>
            </w:r>
          </w:hyperlink>
        </w:p>
        <w:p w14:paraId="33254344" w14:textId="30A827E0"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60" w:history="1">
            <w:r w:rsidR="00E95D03" w:rsidRPr="00E31093">
              <w:rPr>
                <w:rStyle w:val="Hyperlink"/>
                <w:noProof/>
              </w:rPr>
              <w:t>Chapter 9.</w:t>
            </w:r>
            <w:r w:rsidR="00E95D03">
              <w:rPr>
                <w:rFonts w:asciiTheme="minorHAnsi" w:eastAsiaTheme="minorEastAsia" w:hAnsiTheme="minorHAnsi"/>
                <w:noProof/>
                <w:sz w:val="22"/>
                <w:lang w:val="nl-NL" w:eastAsia="nl-NL"/>
              </w:rPr>
              <w:tab/>
            </w:r>
            <w:r w:rsidR="00E95D03" w:rsidRPr="00E31093">
              <w:rPr>
                <w:rStyle w:val="Hyperlink"/>
                <w:noProof/>
              </w:rPr>
              <w:t>Studying with a disability or chronic illness</w:t>
            </w:r>
            <w:r w:rsidR="00E95D03">
              <w:rPr>
                <w:noProof/>
                <w:webHidden/>
              </w:rPr>
              <w:tab/>
            </w:r>
            <w:r w:rsidR="00E95D03">
              <w:rPr>
                <w:noProof/>
                <w:webHidden/>
              </w:rPr>
              <w:fldChar w:fldCharType="begin"/>
            </w:r>
            <w:r w:rsidR="00E95D03">
              <w:rPr>
                <w:noProof/>
                <w:webHidden/>
              </w:rPr>
              <w:instrText xml:space="preserve"> PAGEREF _Toc54257560 \h </w:instrText>
            </w:r>
            <w:r w:rsidR="00E95D03">
              <w:rPr>
                <w:noProof/>
                <w:webHidden/>
              </w:rPr>
            </w:r>
            <w:r w:rsidR="00E95D03">
              <w:rPr>
                <w:noProof/>
                <w:webHidden/>
              </w:rPr>
              <w:fldChar w:fldCharType="separate"/>
            </w:r>
            <w:r w:rsidR="00E95D03">
              <w:rPr>
                <w:noProof/>
                <w:webHidden/>
              </w:rPr>
              <w:t>12</w:t>
            </w:r>
            <w:r w:rsidR="00E95D03">
              <w:rPr>
                <w:noProof/>
                <w:webHidden/>
              </w:rPr>
              <w:fldChar w:fldCharType="end"/>
            </w:r>
          </w:hyperlink>
        </w:p>
        <w:p w14:paraId="379250E9" w14:textId="1F9B57E6"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61" w:history="1">
            <w:r w:rsidR="00E95D03" w:rsidRPr="00E31093">
              <w:rPr>
                <w:rStyle w:val="Hyperlink"/>
                <w:noProof/>
              </w:rPr>
              <w:t>Chapter 10.</w:t>
            </w:r>
            <w:r w:rsidR="00E95D03">
              <w:rPr>
                <w:rFonts w:asciiTheme="minorHAnsi" w:eastAsiaTheme="minorEastAsia" w:hAnsiTheme="minorHAnsi"/>
                <w:noProof/>
                <w:sz w:val="22"/>
                <w:lang w:val="nl-NL" w:eastAsia="nl-NL"/>
              </w:rPr>
              <w:tab/>
            </w:r>
            <w:r w:rsidR="00E95D03" w:rsidRPr="00E31093">
              <w:rPr>
                <w:rStyle w:val="Hyperlink"/>
                <w:noProof/>
              </w:rPr>
              <w:t>Study progress and counselling</w:t>
            </w:r>
            <w:r w:rsidR="00E95D03">
              <w:rPr>
                <w:noProof/>
                <w:webHidden/>
              </w:rPr>
              <w:tab/>
            </w:r>
            <w:r w:rsidR="00E95D03">
              <w:rPr>
                <w:noProof/>
                <w:webHidden/>
              </w:rPr>
              <w:fldChar w:fldCharType="begin"/>
            </w:r>
            <w:r w:rsidR="00E95D03">
              <w:rPr>
                <w:noProof/>
                <w:webHidden/>
              </w:rPr>
              <w:instrText xml:space="preserve"> PAGEREF _Toc54257561 \h </w:instrText>
            </w:r>
            <w:r w:rsidR="00E95D03">
              <w:rPr>
                <w:noProof/>
                <w:webHidden/>
              </w:rPr>
            </w:r>
            <w:r w:rsidR="00E95D03">
              <w:rPr>
                <w:noProof/>
                <w:webHidden/>
              </w:rPr>
              <w:fldChar w:fldCharType="separate"/>
            </w:r>
            <w:r w:rsidR="00E95D03">
              <w:rPr>
                <w:noProof/>
                <w:webHidden/>
              </w:rPr>
              <w:t>12</w:t>
            </w:r>
            <w:r w:rsidR="00E95D03">
              <w:rPr>
                <w:noProof/>
                <w:webHidden/>
              </w:rPr>
              <w:fldChar w:fldCharType="end"/>
            </w:r>
          </w:hyperlink>
        </w:p>
        <w:p w14:paraId="0336BFE2" w14:textId="354443D4"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62" w:history="1">
            <w:r w:rsidR="00E95D03" w:rsidRPr="00E31093">
              <w:rPr>
                <w:rStyle w:val="Hyperlink"/>
                <w:noProof/>
              </w:rPr>
              <w:t>Chapter 11.</w:t>
            </w:r>
            <w:r w:rsidR="00E95D03">
              <w:rPr>
                <w:rFonts w:asciiTheme="minorHAnsi" w:eastAsiaTheme="minorEastAsia" w:hAnsiTheme="minorHAnsi"/>
                <w:noProof/>
                <w:sz w:val="22"/>
                <w:lang w:val="nl-NL" w:eastAsia="nl-NL"/>
              </w:rPr>
              <w:tab/>
            </w:r>
            <w:r w:rsidR="00E95D03" w:rsidRPr="00E31093">
              <w:rPr>
                <w:rStyle w:val="Hyperlink"/>
                <w:noProof/>
              </w:rPr>
              <w:t>Complaint and appeal</w:t>
            </w:r>
            <w:r w:rsidR="00E95D03">
              <w:rPr>
                <w:noProof/>
                <w:webHidden/>
              </w:rPr>
              <w:tab/>
            </w:r>
            <w:r w:rsidR="00E95D03">
              <w:rPr>
                <w:noProof/>
                <w:webHidden/>
              </w:rPr>
              <w:fldChar w:fldCharType="begin"/>
            </w:r>
            <w:r w:rsidR="00E95D03">
              <w:rPr>
                <w:noProof/>
                <w:webHidden/>
              </w:rPr>
              <w:instrText xml:space="preserve"> PAGEREF _Toc54257562 \h </w:instrText>
            </w:r>
            <w:r w:rsidR="00E95D03">
              <w:rPr>
                <w:noProof/>
                <w:webHidden/>
              </w:rPr>
            </w:r>
            <w:r w:rsidR="00E95D03">
              <w:rPr>
                <w:noProof/>
                <w:webHidden/>
              </w:rPr>
              <w:fldChar w:fldCharType="separate"/>
            </w:r>
            <w:r w:rsidR="00E95D03">
              <w:rPr>
                <w:noProof/>
                <w:webHidden/>
              </w:rPr>
              <w:t>12</w:t>
            </w:r>
            <w:r w:rsidR="00E95D03">
              <w:rPr>
                <w:noProof/>
                <w:webHidden/>
              </w:rPr>
              <w:fldChar w:fldCharType="end"/>
            </w:r>
          </w:hyperlink>
        </w:p>
        <w:p w14:paraId="666BEE48" w14:textId="01113C2B"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63" w:history="1">
            <w:r w:rsidR="00E95D03" w:rsidRPr="00E31093">
              <w:rPr>
                <w:rStyle w:val="Hyperlink"/>
                <w:noProof/>
              </w:rPr>
              <w:t>Chapter 12.</w:t>
            </w:r>
            <w:r w:rsidR="00E95D03">
              <w:rPr>
                <w:rFonts w:asciiTheme="minorHAnsi" w:eastAsiaTheme="minorEastAsia" w:hAnsiTheme="minorHAnsi"/>
                <w:noProof/>
                <w:sz w:val="22"/>
                <w:lang w:val="nl-NL" w:eastAsia="nl-NL"/>
              </w:rPr>
              <w:tab/>
            </w:r>
            <w:r w:rsidR="00E95D03" w:rsidRPr="00E31093">
              <w:rPr>
                <w:rStyle w:val="Hyperlink"/>
                <w:noProof/>
              </w:rPr>
              <w:t>Final provisions and implementation provisions</w:t>
            </w:r>
            <w:r w:rsidR="00E95D03">
              <w:rPr>
                <w:noProof/>
                <w:webHidden/>
              </w:rPr>
              <w:tab/>
            </w:r>
            <w:r w:rsidR="00E95D03">
              <w:rPr>
                <w:noProof/>
                <w:webHidden/>
              </w:rPr>
              <w:fldChar w:fldCharType="begin"/>
            </w:r>
            <w:r w:rsidR="00E95D03">
              <w:rPr>
                <w:noProof/>
                <w:webHidden/>
              </w:rPr>
              <w:instrText xml:space="preserve"> PAGEREF _Toc54257563 \h </w:instrText>
            </w:r>
            <w:r w:rsidR="00E95D03">
              <w:rPr>
                <w:noProof/>
                <w:webHidden/>
              </w:rPr>
            </w:r>
            <w:r w:rsidR="00E95D03">
              <w:rPr>
                <w:noProof/>
                <w:webHidden/>
              </w:rPr>
              <w:fldChar w:fldCharType="separate"/>
            </w:r>
            <w:r w:rsidR="00E95D03">
              <w:rPr>
                <w:noProof/>
                <w:webHidden/>
              </w:rPr>
              <w:t>13</w:t>
            </w:r>
            <w:r w:rsidR="00E95D03">
              <w:rPr>
                <w:noProof/>
                <w:webHidden/>
              </w:rPr>
              <w:fldChar w:fldCharType="end"/>
            </w:r>
          </w:hyperlink>
        </w:p>
        <w:p w14:paraId="55A12E4D" w14:textId="3918CE72" w:rsidR="00E95D03" w:rsidRDefault="00F44A74">
          <w:pPr>
            <w:pStyle w:val="Inhopg1"/>
            <w:tabs>
              <w:tab w:val="left" w:pos="1320"/>
              <w:tab w:val="right" w:leader="dot" w:pos="9062"/>
            </w:tabs>
            <w:rPr>
              <w:rFonts w:asciiTheme="minorHAnsi" w:eastAsiaTheme="minorEastAsia" w:hAnsiTheme="minorHAnsi"/>
              <w:noProof/>
              <w:sz w:val="22"/>
              <w:lang w:val="nl-NL" w:eastAsia="nl-NL"/>
            </w:rPr>
          </w:pPr>
          <w:hyperlink w:anchor="_Toc54257564" w:history="1">
            <w:r w:rsidR="00E95D03" w:rsidRPr="00E31093">
              <w:rPr>
                <w:rStyle w:val="Hyperlink"/>
                <w:noProof/>
              </w:rPr>
              <w:t xml:space="preserve">Appendix 1 </w:t>
            </w:r>
            <w:r w:rsidR="00E95D03">
              <w:rPr>
                <w:rFonts w:asciiTheme="minorHAnsi" w:eastAsiaTheme="minorEastAsia" w:hAnsiTheme="minorHAnsi"/>
                <w:noProof/>
                <w:sz w:val="22"/>
                <w:lang w:val="nl-NL" w:eastAsia="nl-NL"/>
              </w:rPr>
              <w:tab/>
            </w:r>
            <w:r w:rsidR="00E95D03" w:rsidRPr="00E31093">
              <w:rPr>
                <w:rStyle w:val="Hyperlink"/>
                <w:noProof/>
              </w:rPr>
              <w:t>Admission to the master’s programme Water Technology</w:t>
            </w:r>
            <w:r w:rsidR="00E95D03">
              <w:rPr>
                <w:noProof/>
                <w:webHidden/>
              </w:rPr>
              <w:tab/>
            </w:r>
            <w:r w:rsidR="00E95D03">
              <w:rPr>
                <w:noProof/>
                <w:webHidden/>
              </w:rPr>
              <w:fldChar w:fldCharType="begin"/>
            </w:r>
            <w:r w:rsidR="00E95D03">
              <w:rPr>
                <w:noProof/>
                <w:webHidden/>
              </w:rPr>
              <w:instrText xml:space="preserve"> PAGEREF _Toc54257564 \h </w:instrText>
            </w:r>
            <w:r w:rsidR="00E95D03">
              <w:rPr>
                <w:noProof/>
                <w:webHidden/>
              </w:rPr>
            </w:r>
            <w:r w:rsidR="00E95D03">
              <w:rPr>
                <w:noProof/>
                <w:webHidden/>
              </w:rPr>
              <w:fldChar w:fldCharType="separate"/>
            </w:r>
            <w:r w:rsidR="00E95D03">
              <w:rPr>
                <w:noProof/>
                <w:webHidden/>
              </w:rPr>
              <w:t>14</w:t>
            </w:r>
            <w:r w:rsidR="00E95D03">
              <w:rPr>
                <w:noProof/>
                <w:webHidden/>
              </w:rPr>
              <w:fldChar w:fldCharType="end"/>
            </w:r>
          </w:hyperlink>
        </w:p>
        <w:p w14:paraId="237A3144" w14:textId="484D52A7" w:rsidR="00E95D03" w:rsidRDefault="00F44A74">
          <w:pPr>
            <w:pStyle w:val="Inhopg1"/>
            <w:tabs>
              <w:tab w:val="right" w:leader="dot" w:pos="9062"/>
            </w:tabs>
            <w:rPr>
              <w:rFonts w:asciiTheme="minorHAnsi" w:eastAsiaTheme="minorEastAsia" w:hAnsiTheme="minorHAnsi"/>
              <w:noProof/>
              <w:sz w:val="22"/>
              <w:lang w:val="nl-NL" w:eastAsia="nl-NL"/>
            </w:rPr>
          </w:pPr>
          <w:hyperlink w:anchor="_Toc54257565" w:history="1">
            <w:r w:rsidR="00E95D03" w:rsidRPr="00E31093">
              <w:rPr>
                <w:rStyle w:val="Hyperlink"/>
                <w:rFonts w:eastAsia="Calibri"/>
                <w:noProof/>
              </w:rPr>
              <w:t>Addendum Education and Examination Regulations Master Water Technology (joint degree) 2020-2021</w:t>
            </w:r>
            <w:r w:rsidR="00E95D03">
              <w:rPr>
                <w:noProof/>
                <w:webHidden/>
              </w:rPr>
              <w:tab/>
            </w:r>
            <w:r w:rsidR="00E95D03">
              <w:rPr>
                <w:noProof/>
                <w:webHidden/>
              </w:rPr>
              <w:fldChar w:fldCharType="begin"/>
            </w:r>
            <w:r w:rsidR="00E95D03">
              <w:rPr>
                <w:noProof/>
                <w:webHidden/>
              </w:rPr>
              <w:instrText xml:space="preserve"> PAGEREF _Toc54257565 \h </w:instrText>
            </w:r>
            <w:r w:rsidR="00E95D03">
              <w:rPr>
                <w:noProof/>
                <w:webHidden/>
              </w:rPr>
            </w:r>
            <w:r w:rsidR="00E95D03">
              <w:rPr>
                <w:noProof/>
                <w:webHidden/>
              </w:rPr>
              <w:fldChar w:fldCharType="separate"/>
            </w:r>
            <w:r w:rsidR="00E95D03">
              <w:rPr>
                <w:noProof/>
                <w:webHidden/>
              </w:rPr>
              <w:t>16</w:t>
            </w:r>
            <w:r w:rsidR="00E95D03">
              <w:rPr>
                <w:noProof/>
                <w:webHidden/>
              </w:rPr>
              <w:fldChar w:fldCharType="end"/>
            </w:r>
          </w:hyperlink>
        </w:p>
        <w:p w14:paraId="21C0C9C2" w14:textId="57AA6A63" w:rsidR="00E95D03" w:rsidRDefault="00F44A74">
          <w:pPr>
            <w:pStyle w:val="Inhopg1"/>
            <w:tabs>
              <w:tab w:val="right" w:leader="dot" w:pos="9062"/>
            </w:tabs>
            <w:rPr>
              <w:rFonts w:asciiTheme="minorHAnsi" w:eastAsiaTheme="minorEastAsia" w:hAnsiTheme="minorHAnsi"/>
              <w:noProof/>
              <w:sz w:val="22"/>
              <w:lang w:val="nl-NL" w:eastAsia="nl-NL"/>
            </w:rPr>
          </w:pPr>
          <w:hyperlink w:anchor="_Toc54257566" w:history="1">
            <w:r w:rsidR="00E95D03" w:rsidRPr="00E31093">
              <w:rPr>
                <w:rStyle w:val="Hyperlink"/>
                <w:rFonts w:eastAsia="Calibri"/>
                <w:noProof/>
              </w:rPr>
              <w:t>Addendum 2 Education and Examination Regulations Master Water Technology (joint degree) 2020-2021</w:t>
            </w:r>
            <w:r w:rsidR="00E95D03">
              <w:rPr>
                <w:noProof/>
                <w:webHidden/>
              </w:rPr>
              <w:tab/>
            </w:r>
            <w:r w:rsidR="00E95D03">
              <w:rPr>
                <w:noProof/>
                <w:webHidden/>
              </w:rPr>
              <w:fldChar w:fldCharType="begin"/>
            </w:r>
            <w:r w:rsidR="00E95D03">
              <w:rPr>
                <w:noProof/>
                <w:webHidden/>
              </w:rPr>
              <w:instrText xml:space="preserve"> PAGEREF _Toc54257566 \h </w:instrText>
            </w:r>
            <w:r w:rsidR="00E95D03">
              <w:rPr>
                <w:noProof/>
                <w:webHidden/>
              </w:rPr>
            </w:r>
            <w:r w:rsidR="00E95D03">
              <w:rPr>
                <w:noProof/>
                <w:webHidden/>
              </w:rPr>
              <w:fldChar w:fldCharType="separate"/>
            </w:r>
            <w:r w:rsidR="00E95D03">
              <w:rPr>
                <w:noProof/>
                <w:webHidden/>
              </w:rPr>
              <w:t>18</w:t>
            </w:r>
            <w:r w:rsidR="00E95D03">
              <w:rPr>
                <w:noProof/>
                <w:webHidden/>
              </w:rPr>
              <w:fldChar w:fldCharType="end"/>
            </w:r>
          </w:hyperlink>
        </w:p>
        <w:p w14:paraId="1BD8C5D7" w14:textId="0CCDAC11" w:rsidR="00F13FE3" w:rsidRPr="00235450" w:rsidRDefault="009718E6">
          <w:r w:rsidRPr="00235450">
            <w:rPr>
              <w:b/>
              <w:bCs/>
              <w:noProof/>
            </w:rPr>
            <w:fldChar w:fldCharType="end"/>
          </w:r>
        </w:p>
      </w:sdtContent>
    </w:sdt>
    <w:p w14:paraId="3C49DC01" w14:textId="48CD51C9" w:rsidR="00235450" w:rsidRDefault="00235450">
      <w:pPr>
        <w:spacing w:after="200" w:line="276" w:lineRule="auto"/>
        <w:rPr>
          <w:rFonts w:eastAsiaTheme="majorEastAsia" w:cstheme="majorBidi"/>
          <w:b/>
          <w:bCs/>
          <w:sz w:val="22"/>
          <w:szCs w:val="28"/>
        </w:rPr>
      </w:pPr>
      <w:r>
        <w:br w:type="page"/>
      </w:r>
    </w:p>
    <w:p w14:paraId="662A92D5" w14:textId="491C44BE" w:rsidR="000F5722" w:rsidRPr="00235450" w:rsidRDefault="000F5722" w:rsidP="00F1333D">
      <w:pPr>
        <w:pStyle w:val="Kop1"/>
        <w:numPr>
          <w:ilvl w:val="0"/>
          <w:numId w:val="30"/>
        </w:numPr>
      </w:pPr>
      <w:bookmarkStart w:id="0" w:name="_Toc54257541"/>
      <w:r w:rsidRPr="00235450">
        <w:lastRenderedPageBreak/>
        <w:t>Introductory provisions</w:t>
      </w:r>
      <w:bookmarkEnd w:id="0"/>
    </w:p>
    <w:p w14:paraId="0A4FEB65" w14:textId="77777777" w:rsidR="00A5148B" w:rsidRPr="00235450" w:rsidRDefault="00A5148B" w:rsidP="00A5148B">
      <w:pPr>
        <w:keepNext/>
        <w:ind w:left="357" w:hanging="357"/>
      </w:pPr>
    </w:p>
    <w:p w14:paraId="37063864" w14:textId="75BD0309" w:rsidR="00A5148B" w:rsidRPr="00235450" w:rsidRDefault="00A5148B" w:rsidP="008007F8">
      <w:pPr>
        <w:pStyle w:val="Artikel"/>
        <w:rPr>
          <w:b/>
          <w:lang w:val="en-GB"/>
        </w:rPr>
      </w:pPr>
      <w:r w:rsidRPr="00235450">
        <w:rPr>
          <w:b/>
          <w:lang w:val="en-GB"/>
        </w:rPr>
        <w:t>Scope of the regulation</w:t>
      </w:r>
      <w:r w:rsidR="00A442E0" w:rsidRPr="00235450">
        <w:rPr>
          <w:b/>
          <w:lang w:val="en-GB"/>
        </w:rPr>
        <w:t>s</w:t>
      </w:r>
      <w:r w:rsidR="009A6A70" w:rsidRPr="00235450">
        <w:rPr>
          <w:b/>
          <w:lang w:val="en-GB"/>
        </w:rPr>
        <w:t xml:space="preserve"> and general provisions</w:t>
      </w:r>
    </w:p>
    <w:p w14:paraId="04AE1EBC" w14:textId="71547798" w:rsidR="00527B9C" w:rsidRPr="00235450" w:rsidRDefault="00527B9C" w:rsidP="00A5148B">
      <w:pPr>
        <w:numPr>
          <w:ilvl w:val="0"/>
          <w:numId w:val="1"/>
        </w:numPr>
        <w:contextualSpacing/>
      </w:pPr>
      <w:r w:rsidRPr="00235450">
        <w:t>Th</w:t>
      </w:r>
      <w:r w:rsidR="00A442E0" w:rsidRPr="00235450">
        <w:t>e</w:t>
      </w:r>
      <w:r w:rsidRPr="00235450">
        <w:t>s</w:t>
      </w:r>
      <w:r w:rsidR="00A442E0" w:rsidRPr="00235450">
        <w:t>e</w:t>
      </w:r>
      <w:r w:rsidRPr="00235450">
        <w:t xml:space="preserve"> regulation</w:t>
      </w:r>
      <w:r w:rsidR="00A442E0" w:rsidRPr="00235450">
        <w:t>s</w:t>
      </w:r>
      <w:r w:rsidRPr="00235450">
        <w:t xml:space="preserve"> </w:t>
      </w:r>
      <w:r w:rsidR="00A442E0" w:rsidRPr="00235450">
        <w:t xml:space="preserve">apply </w:t>
      </w:r>
      <w:r w:rsidRPr="00235450">
        <w:t xml:space="preserve">to </w:t>
      </w:r>
      <w:r w:rsidR="00DA1F9D" w:rsidRPr="00235450">
        <w:t>the education</w:t>
      </w:r>
      <w:r w:rsidRPr="00235450">
        <w:t xml:space="preserve"> and examinations of the </w:t>
      </w:r>
      <w:r w:rsidR="0032156B" w:rsidRPr="00235450">
        <w:t>joint degree M</w:t>
      </w:r>
      <w:r w:rsidR="003720E2">
        <w:t>S</w:t>
      </w:r>
      <w:r w:rsidR="0032156B" w:rsidRPr="00235450">
        <w:t>c Water</w:t>
      </w:r>
      <w:r w:rsidR="00B40328" w:rsidRPr="00235450">
        <w:t xml:space="preserve"> T</w:t>
      </w:r>
      <w:r w:rsidR="0032156B" w:rsidRPr="00235450">
        <w:t xml:space="preserve">echnology </w:t>
      </w:r>
      <w:r w:rsidRPr="00235450">
        <w:t>of Wageningen University</w:t>
      </w:r>
      <w:r w:rsidR="0032156B" w:rsidRPr="00235450">
        <w:t>, University</w:t>
      </w:r>
      <w:r w:rsidR="00162878" w:rsidRPr="00235450">
        <w:t xml:space="preserve"> of Groningen</w:t>
      </w:r>
      <w:r w:rsidR="0032156B" w:rsidRPr="00235450">
        <w:t xml:space="preserve"> and </w:t>
      </w:r>
      <w:r w:rsidR="00074BE0" w:rsidRPr="00235450">
        <w:t>University of Twente</w:t>
      </w:r>
      <w:r w:rsidR="0032156B" w:rsidRPr="00235450">
        <w:t>,</w:t>
      </w:r>
      <w:r w:rsidRPr="00235450">
        <w:t xml:space="preserve"> </w:t>
      </w:r>
      <w:r w:rsidR="00296F30" w:rsidRPr="00235450">
        <w:t xml:space="preserve">as </w:t>
      </w:r>
      <w:r w:rsidR="00A442E0" w:rsidRPr="00235450">
        <w:t xml:space="preserve">included </w:t>
      </w:r>
      <w:r w:rsidRPr="00235450">
        <w:t xml:space="preserve">in the Central Registers of Higher Education </w:t>
      </w:r>
      <w:r w:rsidR="0032156B" w:rsidRPr="00235450">
        <w:t>(</w:t>
      </w:r>
      <w:proofErr w:type="spellStart"/>
      <w:r w:rsidR="0032156B" w:rsidRPr="00235450">
        <w:t>Crohonr</w:t>
      </w:r>
      <w:proofErr w:type="spellEnd"/>
      <w:r w:rsidR="00B40328" w:rsidRPr="00235450">
        <w:t xml:space="preserve"> 65005</w:t>
      </w:r>
      <w:r w:rsidR="001D21D9" w:rsidRPr="00235450">
        <w:t>)</w:t>
      </w:r>
      <w:r w:rsidR="00B40328" w:rsidRPr="00235450">
        <w:t>.</w:t>
      </w:r>
      <w:r w:rsidR="0032156B" w:rsidRPr="00235450">
        <w:t xml:space="preserve"> The programme is provided within the Collaboration Agreement closed between the named three universities.</w:t>
      </w:r>
      <w:r w:rsidRPr="00235450">
        <w:t xml:space="preserve"> </w:t>
      </w:r>
    </w:p>
    <w:p w14:paraId="26DDD3F0" w14:textId="1DFAF1D3" w:rsidR="00A5148B" w:rsidRPr="00235450" w:rsidRDefault="00527B9C" w:rsidP="00A5148B">
      <w:pPr>
        <w:numPr>
          <w:ilvl w:val="0"/>
          <w:numId w:val="1"/>
        </w:numPr>
        <w:contextualSpacing/>
      </w:pPr>
      <w:r w:rsidRPr="00235450">
        <w:t>Th</w:t>
      </w:r>
      <w:r w:rsidR="00A442E0" w:rsidRPr="00235450">
        <w:t>e</w:t>
      </w:r>
      <w:r w:rsidRPr="00235450">
        <w:t>s</w:t>
      </w:r>
      <w:r w:rsidR="00A442E0" w:rsidRPr="00235450">
        <w:t>e</w:t>
      </w:r>
      <w:r w:rsidRPr="00235450">
        <w:t xml:space="preserve"> regulation</w:t>
      </w:r>
      <w:r w:rsidR="00A442E0" w:rsidRPr="00235450">
        <w:t>s</w:t>
      </w:r>
      <w:r w:rsidRPr="00235450">
        <w:t xml:space="preserve"> </w:t>
      </w:r>
      <w:r w:rsidR="00A442E0" w:rsidRPr="00235450">
        <w:t xml:space="preserve">apply </w:t>
      </w:r>
      <w:r w:rsidRPr="00235450">
        <w:t xml:space="preserve">to all </w:t>
      </w:r>
      <w:r w:rsidR="002946FB" w:rsidRPr="00235450">
        <w:t xml:space="preserve">current </w:t>
      </w:r>
      <w:r w:rsidRPr="00235450">
        <w:t>students</w:t>
      </w:r>
      <w:r w:rsidR="002946FB" w:rsidRPr="00235450">
        <w:t xml:space="preserve"> and </w:t>
      </w:r>
      <w:proofErr w:type="spellStart"/>
      <w:r w:rsidR="002946FB" w:rsidRPr="00235450">
        <w:t>extran</w:t>
      </w:r>
      <w:r w:rsidR="003D70EB" w:rsidRPr="00235450">
        <w:t>eï</w:t>
      </w:r>
      <w:proofErr w:type="spellEnd"/>
      <w:r w:rsidRPr="00235450">
        <w:t xml:space="preserve"> enrolled for the academic year </w:t>
      </w:r>
      <w:r w:rsidR="001625F7">
        <w:t>2020-2021</w:t>
      </w:r>
      <w:r w:rsidRPr="00235450">
        <w:t xml:space="preserve">. </w:t>
      </w:r>
      <w:r w:rsidR="002946FB" w:rsidRPr="00235450">
        <w:t xml:space="preserve">Chapter 2 ‘Admission’ with related appendix apply to prospective students. </w:t>
      </w:r>
    </w:p>
    <w:p w14:paraId="27185629" w14:textId="77777777" w:rsidR="00E1200D" w:rsidRPr="00235450" w:rsidRDefault="00527B9C" w:rsidP="00E1200D">
      <w:pPr>
        <w:numPr>
          <w:ilvl w:val="0"/>
          <w:numId w:val="1"/>
        </w:numPr>
        <w:contextualSpacing/>
        <w:rPr>
          <w:b/>
        </w:rPr>
      </w:pPr>
      <w:r w:rsidRPr="00235450">
        <w:t>Th</w:t>
      </w:r>
      <w:r w:rsidR="00A76F3A" w:rsidRPr="00235450">
        <w:t>e</w:t>
      </w:r>
      <w:r w:rsidRPr="00235450">
        <w:t>s</w:t>
      </w:r>
      <w:r w:rsidR="00A76F3A" w:rsidRPr="00235450">
        <w:t>e</w:t>
      </w:r>
      <w:r w:rsidRPr="00235450">
        <w:t xml:space="preserve"> regulation</w:t>
      </w:r>
      <w:r w:rsidR="00A76F3A" w:rsidRPr="00235450">
        <w:t>s</w:t>
      </w:r>
      <w:r w:rsidRPr="00235450">
        <w:t xml:space="preserve"> </w:t>
      </w:r>
      <w:r w:rsidR="00A76F3A" w:rsidRPr="00235450">
        <w:t xml:space="preserve">are </w:t>
      </w:r>
      <w:r w:rsidRPr="00235450">
        <w:t>available</w:t>
      </w:r>
      <w:r w:rsidR="00BC7404" w:rsidRPr="00235450">
        <w:t xml:space="preserve"> only</w:t>
      </w:r>
      <w:r w:rsidRPr="00235450">
        <w:t xml:space="preserve"> in English. </w:t>
      </w:r>
    </w:p>
    <w:p w14:paraId="6BAE30AB" w14:textId="77777777" w:rsidR="00E1200D" w:rsidRPr="00235450" w:rsidRDefault="00E1200D" w:rsidP="00E1200D">
      <w:pPr>
        <w:ind w:left="720"/>
        <w:contextualSpacing/>
      </w:pPr>
    </w:p>
    <w:p w14:paraId="148DFECB" w14:textId="77777777" w:rsidR="00E1200D" w:rsidRPr="00235450" w:rsidRDefault="00E1200D" w:rsidP="008007F8">
      <w:pPr>
        <w:pStyle w:val="Artikel"/>
        <w:rPr>
          <w:b/>
          <w:lang w:val="en-GB"/>
        </w:rPr>
      </w:pPr>
      <w:r w:rsidRPr="00235450">
        <w:rPr>
          <w:b/>
          <w:lang w:val="en-GB"/>
        </w:rPr>
        <w:t>Definitions</w:t>
      </w:r>
    </w:p>
    <w:p w14:paraId="2674702A" w14:textId="77777777" w:rsidR="00E1200D" w:rsidRPr="00235450" w:rsidRDefault="00E1200D" w:rsidP="00E1200D">
      <w:pPr>
        <w:ind w:left="720" w:hanging="720"/>
        <w:contextualSpacing/>
      </w:pPr>
      <w:r w:rsidRPr="00235450">
        <w:t>The following definitions apply:</w:t>
      </w:r>
    </w:p>
    <w:p w14:paraId="5BFFBA7F" w14:textId="5A839C36" w:rsidR="00E1200D" w:rsidRPr="00235450" w:rsidRDefault="00A76F3A" w:rsidP="00E1200D">
      <w:pPr>
        <w:numPr>
          <w:ilvl w:val="0"/>
          <w:numId w:val="2"/>
        </w:numPr>
        <w:contextualSpacing/>
      </w:pPr>
      <w:r w:rsidRPr="00235450">
        <w:rPr>
          <w:i/>
        </w:rPr>
        <w:t>A</w:t>
      </w:r>
      <w:r w:rsidR="00E1200D" w:rsidRPr="00235450">
        <w:rPr>
          <w:i/>
        </w:rPr>
        <w:t xml:space="preserve">dmission </w:t>
      </w:r>
      <w:r w:rsidRPr="00235450">
        <w:rPr>
          <w:i/>
        </w:rPr>
        <w:t>B</w:t>
      </w:r>
      <w:r w:rsidR="00E1200D" w:rsidRPr="00235450">
        <w:rPr>
          <w:i/>
        </w:rPr>
        <w:t>oard</w:t>
      </w:r>
      <w:r w:rsidR="00E1200D" w:rsidRPr="00235450">
        <w:t>: the board established by the</w:t>
      </w:r>
      <w:r w:rsidR="0032156B" w:rsidRPr="00235450">
        <w:t xml:space="preserve"> joint</w:t>
      </w:r>
      <w:r w:rsidR="00E1200D" w:rsidRPr="00235450">
        <w:t xml:space="preserve"> </w:t>
      </w:r>
      <w:r w:rsidR="00131D7F" w:rsidRPr="00235450">
        <w:t>partner institutions</w:t>
      </w:r>
      <w:r w:rsidR="0032156B" w:rsidRPr="00235450">
        <w:t xml:space="preserve"> </w:t>
      </w:r>
      <w:r w:rsidR="00E1200D" w:rsidRPr="00235450">
        <w:t xml:space="preserve">to </w:t>
      </w:r>
      <w:r w:rsidR="00DE460A" w:rsidRPr="00235450">
        <w:t xml:space="preserve">decide on </w:t>
      </w:r>
      <w:r w:rsidR="00E1200D" w:rsidRPr="00235450">
        <w:t>the admission of students to the programme in accordance with the admission regulations provided by law and by th</w:t>
      </w:r>
      <w:r w:rsidRPr="00235450">
        <w:t>e</w:t>
      </w:r>
      <w:r w:rsidR="00E1200D" w:rsidRPr="00235450">
        <w:t>s</w:t>
      </w:r>
      <w:r w:rsidRPr="00235450">
        <w:t>e</w:t>
      </w:r>
      <w:r w:rsidR="00E1200D" w:rsidRPr="00235450">
        <w:t xml:space="preserve"> </w:t>
      </w:r>
      <w:r w:rsidRPr="00235450">
        <w:t>R</w:t>
      </w:r>
      <w:r w:rsidR="00E1200D" w:rsidRPr="00235450">
        <w:t>egulation</w:t>
      </w:r>
      <w:r w:rsidRPr="00235450">
        <w:t>s</w:t>
      </w:r>
      <w:r w:rsidR="00E1200D" w:rsidRPr="00235450">
        <w:t xml:space="preserve">. </w:t>
      </w:r>
    </w:p>
    <w:p w14:paraId="7CA27FA9" w14:textId="2CB6FF8C" w:rsidR="00E1200D" w:rsidRPr="00235450" w:rsidRDefault="00BB68AF" w:rsidP="00BB68AF">
      <w:pPr>
        <w:numPr>
          <w:ilvl w:val="0"/>
          <w:numId w:val="2"/>
        </w:numPr>
        <w:ind w:hanging="294"/>
        <w:contextualSpacing/>
      </w:pPr>
      <w:r w:rsidRPr="00235450">
        <w:rPr>
          <w:i/>
        </w:rPr>
        <w:t xml:space="preserve">Credit: </w:t>
      </w:r>
      <w:r w:rsidRPr="00235450">
        <w:t xml:space="preserve">the unit used to indicate the study load of a programme and study unit as provided by the </w:t>
      </w:r>
      <w:r w:rsidRPr="00235450">
        <w:rPr>
          <w:i/>
        </w:rPr>
        <w:t>E</w:t>
      </w:r>
      <w:r w:rsidR="00E1200D" w:rsidRPr="00235450">
        <w:t>uropean Credit Transfer and Accumulation System (ECTS).</w:t>
      </w:r>
      <w:r w:rsidRPr="00235450">
        <w:t xml:space="preserve"> </w:t>
      </w:r>
      <w:r w:rsidR="006300F3" w:rsidRPr="00235450">
        <w:t>One</w:t>
      </w:r>
      <w:r w:rsidRPr="00235450">
        <w:t xml:space="preserve"> credit </w:t>
      </w:r>
      <w:r w:rsidR="00A76F3A" w:rsidRPr="00235450">
        <w:t xml:space="preserve">consists </w:t>
      </w:r>
      <w:r w:rsidRPr="00235450">
        <w:t xml:space="preserve">of 28 hours of </w:t>
      </w:r>
      <w:r w:rsidR="007C66C9" w:rsidRPr="00235450">
        <w:t>tuition</w:t>
      </w:r>
      <w:r w:rsidRPr="00235450">
        <w:t>, examinations and study</w:t>
      </w:r>
      <w:r w:rsidR="007C66C9" w:rsidRPr="00235450">
        <w:t xml:space="preserve"> hours</w:t>
      </w:r>
      <w:r w:rsidRPr="00235450">
        <w:t xml:space="preserve"> and is equal to a study point as </w:t>
      </w:r>
      <w:r w:rsidR="00A76F3A" w:rsidRPr="00235450">
        <w:t>referred to in A</w:t>
      </w:r>
      <w:r w:rsidRPr="00235450">
        <w:t>rticle 7.</w:t>
      </w:r>
      <w:r w:rsidR="00B76572" w:rsidRPr="00235450">
        <w:t>4 s</w:t>
      </w:r>
      <w:r w:rsidR="006300F3" w:rsidRPr="00235450">
        <w:t>ection</w:t>
      </w:r>
      <w:r w:rsidR="00B76572" w:rsidRPr="00235450">
        <w:t xml:space="preserve"> </w:t>
      </w:r>
      <w:r w:rsidRPr="00235450">
        <w:t xml:space="preserve">1 of the </w:t>
      </w:r>
      <w:r w:rsidR="00904350" w:rsidRPr="00235450">
        <w:t>WHW (</w:t>
      </w:r>
      <w:r w:rsidRPr="00235450">
        <w:t>Higher Education and Scientific Research Act</w:t>
      </w:r>
      <w:r w:rsidR="00904350" w:rsidRPr="00235450">
        <w:t>)</w:t>
      </w:r>
      <w:r w:rsidRPr="00235450">
        <w:t>.</w:t>
      </w:r>
      <w:r w:rsidR="00E1200D" w:rsidRPr="00235450">
        <w:t xml:space="preserve"> </w:t>
      </w:r>
    </w:p>
    <w:p w14:paraId="01087B52" w14:textId="77777777" w:rsidR="00533A64" w:rsidRPr="00235450" w:rsidRDefault="00533A64" w:rsidP="008C718D">
      <w:pPr>
        <w:pStyle w:val="Lijstalinea"/>
        <w:numPr>
          <w:ilvl w:val="0"/>
          <w:numId w:val="2"/>
        </w:numPr>
      </w:pPr>
      <w:r w:rsidRPr="00235450">
        <w:rPr>
          <w:i/>
        </w:rPr>
        <w:t>Course</w:t>
      </w:r>
      <w:r w:rsidRPr="00235450">
        <w:t>: a study unit of a programme as referred to in Article 7.3 section 2 of the WHW.</w:t>
      </w:r>
    </w:p>
    <w:p w14:paraId="2A17D50B" w14:textId="77777777" w:rsidR="004815BE" w:rsidRPr="004815BE" w:rsidRDefault="004815BE" w:rsidP="004815BE">
      <w:pPr>
        <w:pStyle w:val="Lijstalinea"/>
        <w:numPr>
          <w:ilvl w:val="0"/>
          <w:numId w:val="2"/>
        </w:numPr>
      </w:pPr>
      <w:r w:rsidRPr="004815BE">
        <w:rPr>
          <w:i/>
        </w:rPr>
        <w:t xml:space="preserve">Course guide: </w:t>
      </w:r>
      <w:r w:rsidRPr="004815BE">
        <w:t>a document provided by the course coordinator, or a page in the online learning environment of a course, containing information on content, learning outcomes, the way a student can reach the learning outcomes and the way the learning outcomes will be assessed. The information in the course guide is an elaboration from the Study Handbook. In case of inconsistency between the course guide and the Study Handbook, the Study Handbook shall prevail.</w:t>
      </w:r>
    </w:p>
    <w:p w14:paraId="46C279E8" w14:textId="77777777" w:rsidR="004815BE" w:rsidRPr="004815BE" w:rsidRDefault="004815BE" w:rsidP="004815BE">
      <w:pPr>
        <w:pStyle w:val="Lijstalinea"/>
        <w:numPr>
          <w:ilvl w:val="0"/>
          <w:numId w:val="2"/>
        </w:numPr>
      </w:pPr>
      <w:r w:rsidRPr="004815BE">
        <w:rPr>
          <w:i/>
        </w:rPr>
        <w:t xml:space="preserve">Disability or chronic illness: </w:t>
      </w:r>
      <w:r w:rsidRPr="004815BE">
        <w:t>an illness or handicap which is currently considered to be chronic or permanent and which is a structural impediment to the student’s participation in education or interim examinations.</w:t>
      </w:r>
    </w:p>
    <w:p w14:paraId="0183AF1F" w14:textId="5F5FDC00" w:rsidR="003E30BF" w:rsidRPr="00235450" w:rsidRDefault="00D963E9" w:rsidP="00BB68AF">
      <w:pPr>
        <w:numPr>
          <w:ilvl w:val="0"/>
          <w:numId w:val="2"/>
        </w:numPr>
        <w:contextualSpacing/>
      </w:pPr>
      <w:r w:rsidRPr="00235450">
        <w:rPr>
          <w:i/>
        </w:rPr>
        <w:t>E</w:t>
      </w:r>
      <w:r w:rsidR="00340E89" w:rsidRPr="00235450">
        <w:rPr>
          <w:i/>
        </w:rPr>
        <w:t>ducation</w:t>
      </w:r>
      <w:r w:rsidR="003E30BF" w:rsidRPr="00235450">
        <w:rPr>
          <w:i/>
        </w:rPr>
        <w:t xml:space="preserve"> period</w:t>
      </w:r>
      <w:r w:rsidR="003E30BF" w:rsidRPr="00235450">
        <w:t xml:space="preserve">: the period in which tuition is </w:t>
      </w:r>
      <w:r w:rsidR="007C66C9" w:rsidRPr="00235450">
        <w:t>given</w:t>
      </w:r>
      <w:r w:rsidR="003E30BF" w:rsidRPr="00235450">
        <w:t xml:space="preserve">, which includes self-study and </w:t>
      </w:r>
      <w:r w:rsidR="003F6444" w:rsidRPr="00235450">
        <w:t>examinations</w:t>
      </w:r>
      <w:r w:rsidR="003E30BF" w:rsidRPr="00235450">
        <w:t>.</w:t>
      </w:r>
    </w:p>
    <w:p w14:paraId="704A0E32" w14:textId="77777777" w:rsidR="004815BE" w:rsidRPr="004815BE" w:rsidRDefault="004815BE" w:rsidP="004815BE">
      <w:pPr>
        <w:pStyle w:val="Lijstalinea"/>
        <w:numPr>
          <w:ilvl w:val="0"/>
          <w:numId w:val="2"/>
        </w:numPr>
      </w:pPr>
      <w:r w:rsidRPr="004815BE">
        <w:rPr>
          <w:i/>
        </w:rPr>
        <w:t>Examining Board</w:t>
      </w:r>
      <w:r w:rsidRPr="004815BE">
        <w:t xml:space="preserve">: the board established by the joint partner institutions, as referred to in Article 7.12 of the WHW, which is responsible for issues regarding the  </w:t>
      </w:r>
      <w:proofErr w:type="spellStart"/>
      <w:r w:rsidRPr="004815BE">
        <w:t>the</w:t>
      </w:r>
      <w:proofErr w:type="spellEnd"/>
      <w:r w:rsidRPr="004815BE">
        <w:t xml:space="preserve"> interim examinations, resits and final examinations of the programme.</w:t>
      </w:r>
    </w:p>
    <w:p w14:paraId="33E1DCD4" w14:textId="255B5CA5" w:rsidR="00533A64" w:rsidRPr="00235450" w:rsidRDefault="00533A64" w:rsidP="00BB68AF">
      <w:pPr>
        <w:numPr>
          <w:ilvl w:val="0"/>
          <w:numId w:val="2"/>
        </w:numPr>
        <w:contextualSpacing/>
      </w:pPr>
      <w:r w:rsidRPr="00235450">
        <w:rPr>
          <w:i/>
        </w:rPr>
        <w:t>Final exam</w:t>
      </w:r>
      <w:r w:rsidR="003F6444" w:rsidRPr="00235450">
        <w:rPr>
          <w:i/>
        </w:rPr>
        <w:t>ination</w:t>
      </w:r>
      <w:r w:rsidRPr="00235450">
        <w:t>: the final master’s exam</w:t>
      </w:r>
      <w:r w:rsidR="003F6444" w:rsidRPr="00235450">
        <w:t>ination</w:t>
      </w:r>
      <w:r w:rsidRPr="00235450">
        <w:t xml:space="preserve"> for the master’s programme, as referred to in Article 7.3 section 3 of the WHW.</w:t>
      </w:r>
    </w:p>
    <w:p w14:paraId="7AE17D11" w14:textId="3BD04BF6" w:rsidR="00533A64" w:rsidRPr="00235450" w:rsidRDefault="00533A64" w:rsidP="00BB68AF">
      <w:pPr>
        <w:numPr>
          <w:ilvl w:val="0"/>
          <w:numId w:val="2"/>
        </w:numPr>
        <w:contextualSpacing/>
      </w:pPr>
      <w:r w:rsidRPr="00235450">
        <w:rPr>
          <w:i/>
        </w:rPr>
        <w:t>Interim examination</w:t>
      </w:r>
      <w:r w:rsidR="00622838" w:rsidRPr="00235450">
        <w:rPr>
          <w:i/>
        </w:rPr>
        <w:t xml:space="preserve"> </w:t>
      </w:r>
      <w:r w:rsidR="007D3BD0" w:rsidRPr="00235450">
        <w:rPr>
          <w:i/>
        </w:rPr>
        <w:t xml:space="preserve">(Dutch: </w:t>
      </w:r>
      <w:proofErr w:type="spellStart"/>
      <w:r w:rsidR="007D3BD0" w:rsidRPr="00235450">
        <w:rPr>
          <w:i/>
        </w:rPr>
        <w:t>tentamen</w:t>
      </w:r>
      <w:proofErr w:type="spellEnd"/>
      <w:r w:rsidR="00367367" w:rsidRPr="00235450">
        <w:rPr>
          <w:i/>
        </w:rPr>
        <w:t>)</w:t>
      </w:r>
      <w:r w:rsidRPr="00235450">
        <w:t xml:space="preserve">: an </w:t>
      </w:r>
      <w:r w:rsidR="008C718D" w:rsidRPr="00235450">
        <w:t>assess</w:t>
      </w:r>
      <w:r w:rsidRPr="00235450">
        <w:t>ment of knowledge, understanding and skills relating to a course.</w:t>
      </w:r>
    </w:p>
    <w:p w14:paraId="3787E887" w14:textId="77777777" w:rsidR="00533A64" w:rsidRPr="00235450" w:rsidRDefault="00533A64" w:rsidP="00BB68AF">
      <w:pPr>
        <w:numPr>
          <w:ilvl w:val="0"/>
          <w:numId w:val="2"/>
        </w:numPr>
        <w:contextualSpacing/>
      </w:pPr>
      <w:r w:rsidRPr="00235450">
        <w:rPr>
          <w:i/>
        </w:rPr>
        <w:t xml:space="preserve">Interim examination period: </w:t>
      </w:r>
      <w:r w:rsidRPr="00235450">
        <w:t>part of the education period in which the opportunity is given to take interim examinations in the courses given during that period. If an education period does not have a general examination period, the interim examinations will be scheduled individually.</w:t>
      </w:r>
    </w:p>
    <w:p w14:paraId="73F06220" w14:textId="019C1410" w:rsidR="00533A64" w:rsidRPr="00235450" w:rsidRDefault="00533A64" w:rsidP="00533A64">
      <w:pPr>
        <w:numPr>
          <w:ilvl w:val="0"/>
          <w:numId w:val="2"/>
        </w:numPr>
        <w:contextualSpacing/>
      </w:pPr>
      <w:r w:rsidRPr="00235450">
        <w:rPr>
          <w:i/>
        </w:rPr>
        <w:t>In writing</w:t>
      </w:r>
      <w:r w:rsidRPr="00235450">
        <w:t xml:space="preserve">: the term ‘in writing’ mentioned in these Regulations (for example with </w:t>
      </w:r>
      <w:r w:rsidR="003F6444" w:rsidRPr="00235450">
        <w:t>examinations</w:t>
      </w:r>
      <w:r w:rsidRPr="00235450">
        <w:t xml:space="preserve"> or written papers) also includes digital </w:t>
      </w:r>
      <w:r w:rsidR="009719E0" w:rsidRPr="00235450">
        <w:t>interim examination taken via a university computer in a university room.</w:t>
      </w:r>
    </w:p>
    <w:p w14:paraId="5BBA5425" w14:textId="21F92689" w:rsidR="00131D7F" w:rsidRPr="00235450" w:rsidRDefault="00131D7F" w:rsidP="00533A64">
      <w:pPr>
        <w:numPr>
          <w:ilvl w:val="0"/>
          <w:numId w:val="2"/>
        </w:numPr>
        <w:contextualSpacing/>
      </w:pPr>
      <w:r w:rsidRPr="00235450">
        <w:rPr>
          <w:i/>
        </w:rPr>
        <w:t>Joint partner institutions</w:t>
      </w:r>
      <w:r w:rsidRPr="00235450">
        <w:t>: the joint universities offering the</w:t>
      </w:r>
      <w:r w:rsidR="00B1177B" w:rsidRPr="00235450">
        <w:t xml:space="preserve"> joint degree</w:t>
      </w:r>
      <w:r w:rsidRPr="00235450">
        <w:t xml:space="preserve"> master’s programme MWT, being Wageningen University, University of Groningen and University of Twente, represented by their Executive</w:t>
      </w:r>
      <w:r w:rsidR="00546457" w:rsidRPr="00235450">
        <w:t xml:space="preserve"> Boards or, dependent on the co</w:t>
      </w:r>
      <w:r w:rsidR="00622838" w:rsidRPr="00235450">
        <w:t>o</w:t>
      </w:r>
      <w:r w:rsidRPr="00235450">
        <w:t>peration agreement, their Faculty Boards</w:t>
      </w:r>
      <w:r w:rsidR="00546457" w:rsidRPr="00235450">
        <w:t xml:space="preserve"> or other bodies</w:t>
      </w:r>
      <w:r w:rsidRPr="00235450">
        <w:t xml:space="preserve">. </w:t>
      </w:r>
    </w:p>
    <w:p w14:paraId="2FFF48AB" w14:textId="77777777" w:rsidR="003E30BF" w:rsidRPr="00235450" w:rsidRDefault="003E30BF">
      <w:pPr>
        <w:numPr>
          <w:ilvl w:val="0"/>
          <w:numId w:val="2"/>
        </w:numPr>
        <w:contextualSpacing/>
      </w:pPr>
      <w:r w:rsidRPr="00235450">
        <w:rPr>
          <w:i/>
        </w:rPr>
        <w:t>Practical assignments</w:t>
      </w:r>
      <w:r w:rsidRPr="00235450">
        <w:t xml:space="preserve">, as </w:t>
      </w:r>
      <w:r w:rsidR="00D963E9" w:rsidRPr="00235450">
        <w:t>referred to in A</w:t>
      </w:r>
      <w:r w:rsidRPr="00235450">
        <w:t xml:space="preserve">rticle 7.13 sub 2t </w:t>
      </w:r>
      <w:r w:rsidR="00904350" w:rsidRPr="00235450">
        <w:t>WHW,</w:t>
      </w:r>
      <w:r w:rsidRPr="00235450">
        <w:t xml:space="preserve"> in one of the following </w:t>
      </w:r>
      <w:r w:rsidR="00D963E9" w:rsidRPr="00235450">
        <w:t>forms</w:t>
      </w:r>
      <w:r w:rsidRPr="00235450">
        <w:t>:</w:t>
      </w:r>
    </w:p>
    <w:p w14:paraId="6F938A35" w14:textId="77777777" w:rsidR="003E30BF" w:rsidRPr="00235450" w:rsidRDefault="003E30BF" w:rsidP="00064F84">
      <w:pPr>
        <w:pStyle w:val="Lijstalinea"/>
        <w:numPr>
          <w:ilvl w:val="0"/>
          <w:numId w:val="3"/>
        </w:numPr>
      </w:pPr>
      <w:r w:rsidRPr="00235450">
        <w:t xml:space="preserve">Participation in </w:t>
      </w:r>
      <w:r w:rsidR="00D35DF8" w:rsidRPr="00235450">
        <w:t>practical’s</w:t>
      </w:r>
      <w:r w:rsidR="00D963E9" w:rsidRPr="00235450">
        <w:t xml:space="preserve"> (lab</w:t>
      </w:r>
      <w:r w:rsidR="00C44AE3" w:rsidRPr="00235450">
        <w:t xml:space="preserve"> </w:t>
      </w:r>
      <w:r w:rsidR="00D963E9" w:rsidRPr="00235450">
        <w:t>work</w:t>
      </w:r>
      <w:r w:rsidR="00C44AE3" w:rsidRPr="00235450">
        <w:t>,</w:t>
      </w:r>
      <w:r w:rsidR="00D963E9" w:rsidRPr="00235450">
        <w:t xml:space="preserve"> etc.)</w:t>
      </w:r>
      <w:r w:rsidRPr="00235450">
        <w:t>,</w:t>
      </w:r>
    </w:p>
    <w:p w14:paraId="0A29F50A" w14:textId="77777777" w:rsidR="003E30BF" w:rsidRPr="00235450" w:rsidRDefault="003E30BF" w:rsidP="00064F84">
      <w:pPr>
        <w:pStyle w:val="Lijstalinea"/>
        <w:numPr>
          <w:ilvl w:val="0"/>
          <w:numId w:val="3"/>
        </w:numPr>
      </w:pPr>
      <w:r w:rsidRPr="00235450">
        <w:t>Participation in fieldwork or excursions or,</w:t>
      </w:r>
    </w:p>
    <w:p w14:paraId="06AA35C3" w14:textId="3FFC9379" w:rsidR="00533A64" w:rsidRPr="00235450" w:rsidRDefault="003E30BF" w:rsidP="00533A64">
      <w:pPr>
        <w:pStyle w:val="Lijstalinea"/>
        <w:numPr>
          <w:ilvl w:val="0"/>
          <w:numId w:val="3"/>
        </w:numPr>
      </w:pPr>
      <w:r w:rsidRPr="00235450">
        <w:lastRenderedPageBreak/>
        <w:t xml:space="preserve">Participation in another </w:t>
      </w:r>
      <w:r w:rsidR="00C44AE3" w:rsidRPr="00235450">
        <w:t xml:space="preserve">teaching activity </w:t>
      </w:r>
      <w:r w:rsidRPr="00235450">
        <w:t>which is directed at achieving certain skills</w:t>
      </w:r>
    </w:p>
    <w:p w14:paraId="7E468587" w14:textId="3D2FB502" w:rsidR="0054632A" w:rsidRPr="00235450" w:rsidRDefault="00C93E69" w:rsidP="0054632A">
      <w:pPr>
        <w:pStyle w:val="Lijstalinea"/>
        <w:numPr>
          <w:ilvl w:val="0"/>
          <w:numId w:val="2"/>
        </w:numPr>
        <w:rPr>
          <w:i/>
        </w:rPr>
      </w:pPr>
      <w:r w:rsidRPr="00235450">
        <w:rPr>
          <w:i/>
        </w:rPr>
        <w:t>Resit</w:t>
      </w:r>
      <w:r w:rsidR="0054632A" w:rsidRPr="00235450">
        <w:t>: an assessment of knowledge, understanding and skills relating to a course which the student takes after having failed to pass an interim examination or after having timely withdraw</w:t>
      </w:r>
      <w:r w:rsidR="00491178" w:rsidRPr="00235450">
        <w:t>n</w:t>
      </w:r>
      <w:r w:rsidR="0054632A" w:rsidRPr="00235450">
        <w:t xml:space="preserve"> from an interim examination.</w:t>
      </w:r>
    </w:p>
    <w:p w14:paraId="79F0E6C9" w14:textId="77777777" w:rsidR="004815BE" w:rsidRPr="004815BE" w:rsidRDefault="004815BE" w:rsidP="004815BE">
      <w:pPr>
        <w:pStyle w:val="Lijstalinea"/>
        <w:numPr>
          <w:ilvl w:val="0"/>
          <w:numId w:val="2"/>
        </w:numPr>
        <w:rPr>
          <w:i/>
        </w:rPr>
      </w:pPr>
      <w:r w:rsidRPr="004815BE">
        <w:rPr>
          <w:i/>
        </w:rPr>
        <w:t xml:space="preserve">Resit period: </w:t>
      </w:r>
      <w:r w:rsidRPr="004815BE">
        <w:t xml:space="preserve">the period in the academic year, outside the education period, in which students have the opportunity to </w:t>
      </w:r>
      <w:proofErr w:type="spellStart"/>
      <w:r w:rsidRPr="004815BE">
        <w:t>resit</w:t>
      </w:r>
      <w:proofErr w:type="spellEnd"/>
      <w:r w:rsidRPr="004815BE">
        <w:t xml:space="preserve"> interim examinations.</w:t>
      </w:r>
    </w:p>
    <w:p w14:paraId="4ADD2500" w14:textId="18D99584" w:rsidR="003E30BF" w:rsidRPr="00235450" w:rsidRDefault="00367367" w:rsidP="0054632A">
      <w:pPr>
        <w:pStyle w:val="Lijstalinea"/>
        <w:numPr>
          <w:ilvl w:val="0"/>
          <w:numId w:val="2"/>
        </w:numPr>
      </w:pPr>
      <w:r w:rsidRPr="00235450">
        <w:rPr>
          <w:i/>
        </w:rPr>
        <w:t xml:space="preserve">Rules and </w:t>
      </w:r>
      <w:r w:rsidR="003E30BF" w:rsidRPr="00235450">
        <w:rPr>
          <w:i/>
        </w:rPr>
        <w:t>Regulations</w:t>
      </w:r>
      <w:r w:rsidR="003E30BF" w:rsidRPr="00235450">
        <w:t xml:space="preserve">: the </w:t>
      </w:r>
      <w:r w:rsidRPr="00235450">
        <w:t xml:space="preserve">Rules and </w:t>
      </w:r>
      <w:r w:rsidR="00F16FDB" w:rsidRPr="00235450">
        <w:t xml:space="preserve">Regulations </w:t>
      </w:r>
      <w:r w:rsidR="00C44AE3" w:rsidRPr="00235450">
        <w:t xml:space="preserve">adopted </w:t>
      </w:r>
      <w:r w:rsidR="003E30BF" w:rsidRPr="00235450">
        <w:t xml:space="preserve">by the </w:t>
      </w:r>
      <w:r w:rsidR="00F4348C" w:rsidRPr="00235450">
        <w:t>Examining Board</w:t>
      </w:r>
      <w:r w:rsidR="003E30BF" w:rsidRPr="00235450">
        <w:t xml:space="preserve">, </w:t>
      </w:r>
      <w:r w:rsidR="00D963E9" w:rsidRPr="00235450">
        <w:t xml:space="preserve">as referred to in Article </w:t>
      </w:r>
      <w:r w:rsidR="003E30BF" w:rsidRPr="00235450">
        <w:t xml:space="preserve">7.12b </w:t>
      </w:r>
      <w:r w:rsidR="00340E89" w:rsidRPr="00235450">
        <w:t>section</w:t>
      </w:r>
      <w:r w:rsidR="003E30BF" w:rsidRPr="00235450">
        <w:t xml:space="preserve"> 3 of the </w:t>
      </w:r>
      <w:r w:rsidR="00904350" w:rsidRPr="00235450">
        <w:t>WHW</w:t>
      </w:r>
      <w:r w:rsidR="003E30BF" w:rsidRPr="00235450">
        <w:t>, in which the procedures concerning interim exam</w:t>
      </w:r>
      <w:r w:rsidR="00C44AE3" w:rsidRPr="00235450">
        <w:t>inations</w:t>
      </w:r>
      <w:r w:rsidR="0054632A" w:rsidRPr="00235450">
        <w:t xml:space="preserve"> and</w:t>
      </w:r>
      <w:r w:rsidR="00C44AE3" w:rsidRPr="00235450">
        <w:t xml:space="preserve"> final examinations </w:t>
      </w:r>
      <w:r w:rsidR="003E30BF" w:rsidRPr="00235450">
        <w:t xml:space="preserve">and the tasks and </w:t>
      </w:r>
      <w:r w:rsidR="0054632A" w:rsidRPr="00235450">
        <w:t>authorities</w:t>
      </w:r>
      <w:r w:rsidR="003E30BF" w:rsidRPr="00235450">
        <w:t xml:space="preserve"> of th</w:t>
      </w:r>
      <w:r w:rsidR="00DA1F9D" w:rsidRPr="00235450">
        <w:t xml:space="preserve">e </w:t>
      </w:r>
      <w:r w:rsidR="00F4348C" w:rsidRPr="00235450">
        <w:t>Examining Board</w:t>
      </w:r>
      <w:r w:rsidR="00DA1F9D" w:rsidRPr="00235450">
        <w:t xml:space="preserve"> and examine</w:t>
      </w:r>
      <w:r w:rsidR="003E30BF" w:rsidRPr="00235450">
        <w:t xml:space="preserve">rs are </w:t>
      </w:r>
      <w:r w:rsidR="00C44AE3" w:rsidRPr="00235450">
        <w:t>specified</w:t>
      </w:r>
      <w:r w:rsidR="003E30BF" w:rsidRPr="00235450">
        <w:t xml:space="preserve">. The </w:t>
      </w:r>
      <w:r w:rsidRPr="00235450">
        <w:t xml:space="preserve">Rules and </w:t>
      </w:r>
      <w:r w:rsidR="00F16FDB" w:rsidRPr="00235450">
        <w:t xml:space="preserve">Regulations </w:t>
      </w:r>
      <w:r w:rsidR="003E30BF" w:rsidRPr="00235450">
        <w:t xml:space="preserve">can be found in the </w:t>
      </w:r>
      <w:hyperlink r:id="rId10" w:history="1">
        <w:r w:rsidR="003E30BF" w:rsidRPr="00235450">
          <w:rPr>
            <w:rStyle w:val="Hyperlink"/>
          </w:rPr>
          <w:t>Student Charter.</w:t>
        </w:r>
      </w:hyperlink>
    </w:p>
    <w:p w14:paraId="7BD9049B" w14:textId="77777777" w:rsidR="00DA1F9D" w:rsidRPr="00235450" w:rsidRDefault="00DA1F9D" w:rsidP="008C718D">
      <w:pPr>
        <w:pStyle w:val="Lijstalinea"/>
        <w:numPr>
          <w:ilvl w:val="0"/>
          <w:numId w:val="2"/>
        </w:numPr>
      </w:pPr>
      <w:r w:rsidRPr="00235450">
        <w:rPr>
          <w:i/>
        </w:rPr>
        <w:t xml:space="preserve">SSC: </w:t>
      </w:r>
      <w:r w:rsidRPr="00235450">
        <w:t>Student Service Centre</w:t>
      </w:r>
      <w:r w:rsidR="008C718D" w:rsidRPr="00235450">
        <w:t>.</w:t>
      </w:r>
    </w:p>
    <w:p w14:paraId="4F929FAD" w14:textId="27D44A66" w:rsidR="00DA1F9D" w:rsidRPr="00235450" w:rsidRDefault="00DA1F9D" w:rsidP="008C718D">
      <w:pPr>
        <w:pStyle w:val="Lijstalinea"/>
        <w:numPr>
          <w:ilvl w:val="0"/>
          <w:numId w:val="2"/>
        </w:numPr>
      </w:pPr>
      <w:r w:rsidRPr="00235450">
        <w:rPr>
          <w:i/>
        </w:rPr>
        <w:t>Student:</w:t>
      </w:r>
      <w:r w:rsidRPr="00235450">
        <w:t xml:space="preserve"> the person entitled to education and/or examination facilities </w:t>
      </w:r>
      <w:r w:rsidR="003400B0" w:rsidRPr="00235450">
        <w:t xml:space="preserve">by </w:t>
      </w:r>
      <w:r w:rsidR="00B76572" w:rsidRPr="00235450">
        <w:t>virtue</w:t>
      </w:r>
      <w:r w:rsidR="003400B0" w:rsidRPr="00235450">
        <w:t xml:space="preserve"> of </w:t>
      </w:r>
      <w:r w:rsidR="00340E89" w:rsidRPr="00235450">
        <w:t xml:space="preserve">the </w:t>
      </w:r>
      <w:r w:rsidR="003400B0" w:rsidRPr="00235450">
        <w:t>law</w:t>
      </w:r>
      <w:r w:rsidR="0054632A" w:rsidRPr="00235450">
        <w:t xml:space="preserve"> and his enrolment. In these regulations, when referring to the singular student, the male form (such as “he” or “his”) is used. However, reference is made to students of all genders.</w:t>
      </w:r>
    </w:p>
    <w:p w14:paraId="13204240" w14:textId="2C5B4674" w:rsidR="00F54F77" w:rsidRPr="00235450" w:rsidRDefault="00CD5EA9" w:rsidP="008C718D">
      <w:pPr>
        <w:pStyle w:val="Lijstalinea"/>
        <w:numPr>
          <w:ilvl w:val="0"/>
          <w:numId w:val="2"/>
        </w:numPr>
      </w:pPr>
      <w:r w:rsidRPr="00235450">
        <w:rPr>
          <w:i/>
        </w:rPr>
        <w:t>Study Handbook</w:t>
      </w:r>
      <w:r w:rsidRPr="00235450">
        <w:t>:</w:t>
      </w:r>
      <w:r w:rsidR="00F54F77" w:rsidRPr="00235450">
        <w:t xml:space="preserve"> contains the part of the EER relating to </w:t>
      </w:r>
      <w:r w:rsidR="00340E89" w:rsidRPr="00235450">
        <w:t>the</w:t>
      </w:r>
      <w:r w:rsidR="00F54F77" w:rsidRPr="00235450">
        <w:t xml:space="preserve"> particular </w:t>
      </w:r>
      <w:r w:rsidR="00566460" w:rsidRPr="00235450">
        <w:t>programme</w:t>
      </w:r>
      <w:r w:rsidR="00340E89" w:rsidRPr="00235450">
        <w:t>s</w:t>
      </w:r>
      <w:r w:rsidR="00F54F77" w:rsidRPr="00235450">
        <w:t xml:space="preserve"> and is available on internet: </w:t>
      </w:r>
      <w:hyperlink r:id="rId11" w:history="1">
        <w:r w:rsidR="00F54F77" w:rsidRPr="00235450">
          <w:rPr>
            <w:rStyle w:val="Hyperlink"/>
          </w:rPr>
          <w:t>Dutch</w:t>
        </w:r>
      </w:hyperlink>
      <w:r w:rsidR="007C66C9" w:rsidRPr="00235450">
        <w:t xml:space="preserve"> or</w:t>
      </w:r>
      <w:r w:rsidR="00F54F77" w:rsidRPr="00235450">
        <w:t xml:space="preserve"> </w:t>
      </w:r>
      <w:hyperlink r:id="rId12" w:history="1">
        <w:r w:rsidR="00F54F77" w:rsidRPr="00235450">
          <w:rPr>
            <w:rStyle w:val="Hyperlink"/>
          </w:rPr>
          <w:t>English</w:t>
        </w:r>
      </w:hyperlink>
      <w:r w:rsidR="007C66C9" w:rsidRPr="00235450">
        <w:t>.</w:t>
      </w:r>
    </w:p>
    <w:p w14:paraId="581139CA" w14:textId="7E893E57" w:rsidR="00340E89" w:rsidRPr="00260058" w:rsidRDefault="00340E89" w:rsidP="003434E4">
      <w:pPr>
        <w:pStyle w:val="Lijstalinea"/>
        <w:numPr>
          <w:ilvl w:val="0"/>
          <w:numId w:val="2"/>
        </w:numPr>
        <w:rPr>
          <w:lang w:val="nl-NL"/>
        </w:rPr>
      </w:pPr>
      <w:r w:rsidRPr="00260058">
        <w:rPr>
          <w:i/>
          <w:lang w:val="nl-NL"/>
        </w:rPr>
        <w:t xml:space="preserve">WHW, </w:t>
      </w:r>
      <w:proofErr w:type="spellStart"/>
      <w:r w:rsidRPr="00260058">
        <w:rPr>
          <w:i/>
          <w:lang w:val="nl-NL"/>
        </w:rPr>
        <w:t>the</w:t>
      </w:r>
      <w:proofErr w:type="spellEnd"/>
      <w:r w:rsidRPr="00260058">
        <w:rPr>
          <w:i/>
          <w:lang w:val="nl-NL"/>
        </w:rPr>
        <w:t xml:space="preserve"> </w:t>
      </w:r>
      <w:proofErr w:type="spellStart"/>
      <w:r w:rsidRPr="00260058">
        <w:rPr>
          <w:i/>
          <w:lang w:val="nl-NL"/>
        </w:rPr>
        <w:t>Law</w:t>
      </w:r>
      <w:proofErr w:type="spellEnd"/>
      <w:r w:rsidRPr="00260058">
        <w:rPr>
          <w:lang w:val="nl-NL"/>
        </w:rPr>
        <w:t xml:space="preserve">: </w:t>
      </w:r>
      <w:r w:rsidR="00260058" w:rsidRPr="00260058">
        <w:rPr>
          <w:lang w:val="nl-NL"/>
        </w:rPr>
        <w:t>We</w:t>
      </w:r>
      <w:r w:rsidR="00260058">
        <w:rPr>
          <w:lang w:val="nl-NL"/>
        </w:rPr>
        <w:t>t</w:t>
      </w:r>
      <w:r w:rsidR="00260058" w:rsidRPr="00260058">
        <w:rPr>
          <w:lang w:val="nl-NL"/>
        </w:rPr>
        <w:t xml:space="preserve"> op het Hoger Onderwijs en Wetenschappelijk Onderzoek (</w:t>
      </w:r>
      <w:proofErr w:type="spellStart"/>
      <w:r w:rsidRPr="00260058">
        <w:rPr>
          <w:lang w:val="nl-NL"/>
        </w:rPr>
        <w:t>the</w:t>
      </w:r>
      <w:proofErr w:type="spellEnd"/>
      <w:r w:rsidRPr="00260058">
        <w:rPr>
          <w:lang w:val="nl-NL"/>
        </w:rPr>
        <w:t xml:space="preserve"> </w:t>
      </w:r>
      <w:proofErr w:type="spellStart"/>
      <w:r w:rsidRPr="00260058">
        <w:rPr>
          <w:lang w:val="nl-NL"/>
        </w:rPr>
        <w:t>Higher</w:t>
      </w:r>
      <w:proofErr w:type="spellEnd"/>
      <w:r w:rsidRPr="00260058">
        <w:rPr>
          <w:lang w:val="nl-NL"/>
        </w:rPr>
        <w:t xml:space="preserve"> Education and Research Act</w:t>
      </w:r>
      <w:r w:rsidR="00260058" w:rsidRPr="00260058">
        <w:rPr>
          <w:lang w:val="nl-NL"/>
        </w:rPr>
        <w:t>)</w:t>
      </w:r>
      <w:r w:rsidR="006848A8" w:rsidRPr="00260058">
        <w:rPr>
          <w:lang w:val="nl-NL"/>
        </w:rPr>
        <w:t>.</w:t>
      </w:r>
      <w:r w:rsidRPr="00260058">
        <w:rPr>
          <w:lang w:val="nl-NL"/>
        </w:rPr>
        <w:t xml:space="preserve"> </w:t>
      </w:r>
    </w:p>
    <w:p w14:paraId="237105BA" w14:textId="77777777" w:rsidR="006D5BB4" w:rsidRPr="00260058" w:rsidRDefault="006D5BB4" w:rsidP="006D5BB4">
      <w:pPr>
        <w:rPr>
          <w:lang w:val="nl-NL"/>
        </w:rPr>
      </w:pPr>
    </w:p>
    <w:p w14:paraId="1A4A4DE5" w14:textId="6A46AA8C" w:rsidR="00D258BB" w:rsidRPr="00235450" w:rsidRDefault="00D258BB" w:rsidP="00D258BB">
      <w:pPr>
        <w:pStyle w:val="Artikel"/>
        <w:rPr>
          <w:b/>
          <w:lang w:val="en-GB"/>
        </w:rPr>
      </w:pPr>
      <w:r w:rsidRPr="00235450">
        <w:rPr>
          <w:b/>
          <w:lang w:val="en-GB"/>
        </w:rPr>
        <w:t xml:space="preserve">The way of evaluation of the education in the programmes </w:t>
      </w:r>
    </w:p>
    <w:p w14:paraId="48ABD37A" w14:textId="483929D5" w:rsidR="00025703" w:rsidRPr="00235450" w:rsidRDefault="00D258BB" w:rsidP="008C1F67">
      <w:pPr>
        <w:pStyle w:val="Artikel"/>
        <w:numPr>
          <w:ilvl w:val="0"/>
          <w:numId w:val="0"/>
        </w:numPr>
        <w:ind w:left="357"/>
        <w:rPr>
          <w:rStyle w:val="Hyperlink"/>
          <w:lang w:val="en-GB"/>
        </w:rPr>
      </w:pPr>
      <w:r w:rsidRPr="00235450">
        <w:rPr>
          <w:lang w:val="en-GB"/>
        </w:rPr>
        <w:t xml:space="preserve">Every educational period all courses  will in principle be evaluated by means of a (standard) questionnaire. Furthermore once a year </w:t>
      </w:r>
      <w:r w:rsidR="00E8509C" w:rsidRPr="00235450">
        <w:rPr>
          <w:lang w:val="en-GB"/>
        </w:rPr>
        <w:t>each</w:t>
      </w:r>
      <w:r w:rsidRPr="00235450">
        <w:rPr>
          <w:lang w:val="en-GB"/>
        </w:rPr>
        <w:t xml:space="preserve"> enroll</w:t>
      </w:r>
      <w:r w:rsidR="00E8509C" w:rsidRPr="00235450">
        <w:rPr>
          <w:lang w:val="en-GB"/>
        </w:rPr>
        <w:t>ed</w:t>
      </w:r>
      <w:r w:rsidRPr="00235450">
        <w:rPr>
          <w:lang w:val="en-GB"/>
        </w:rPr>
        <w:t xml:space="preserve"> student will be invited to complete the national (Dutch) student’s survey (“NSE”). Immediately after their graduation, </w:t>
      </w:r>
      <w:r w:rsidR="00E8509C" w:rsidRPr="00235450">
        <w:rPr>
          <w:lang w:val="en-GB"/>
        </w:rPr>
        <w:t>each</w:t>
      </w:r>
      <w:r w:rsidRPr="00235450">
        <w:rPr>
          <w:lang w:val="en-GB"/>
        </w:rPr>
        <w:t xml:space="preserve"> graduate will receive a questionnaire </w:t>
      </w:r>
      <w:r w:rsidR="00E8509C" w:rsidRPr="00235450">
        <w:rPr>
          <w:lang w:val="en-GB"/>
        </w:rPr>
        <w:t xml:space="preserve">from Wageningen University </w:t>
      </w:r>
      <w:r w:rsidRPr="00235450">
        <w:rPr>
          <w:lang w:val="en-GB"/>
        </w:rPr>
        <w:t xml:space="preserve">about </w:t>
      </w:r>
      <w:r w:rsidR="00E8509C" w:rsidRPr="00235450">
        <w:rPr>
          <w:lang w:val="en-GB"/>
        </w:rPr>
        <w:t>his</w:t>
      </w:r>
      <w:r w:rsidRPr="00235450">
        <w:rPr>
          <w:lang w:val="en-GB"/>
        </w:rPr>
        <w:t xml:space="preserve"> programme. In a national context every two years a national alumni survey</w:t>
      </w:r>
      <w:r w:rsidR="002462F8" w:rsidRPr="00235450">
        <w:rPr>
          <w:lang w:val="en-GB"/>
        </w:rPr>
        <w:t xml:space="preserve"> (“NAE”)</w:t>
      </w:r>
      <w:r w:rsidRPr="00235450">
        <w:rPr>
          <w:lang w:val="en-GB"/>
        </w:rPr>
        <w:t xml:space="preserve"> is sent to </w:t>
      </w:r>
      <w:r w:rsidR="00E8509C" w:rsidRPr="00235450">
        <w:rPr>
          <w:lang w:val="en-GB"/>
        </w:rPr>
        <w:t>every</w:t>
      </w:r>
      <w:r w:rsidRPr="00235450">
        <w:rPr>
          <w:lang w:val="en-GB"/>
        </w:rPr>
        <w:t xml:space="preserve"> master graduate who graduated between one and two years before. Information about the outcomes of these evaluations can be found on</w:t>
      </w:r>
      <w:r w:rsidR="008C1F67" w:rsidRPr="00235450">
        <w:rPr>
          <w:lang w:val="en-GB"/>
        </w:rPr>
        <w:t xml:space="preserve"> </w:t>
      </w:r>
      <w:hyperlink r:id="rId13" w:history="1">
        <w:r w:rsidR="008C1F67" w:rsidRPr="00235450">
          <w:rPr>
            <w:rStyle w:val="Hyperlink"/>
            <w:lang w:val="en-GB"/>
          </w:rPr>
          <w:t>internet.</w:t>
        </w:r>
      </w:hyperlink>
    </w:p>
    <w:p w14:paraId="5406A439" w14:textId="77777777" w:rsidR="006D3D1B" w:rsidRPr="00235450" w:rsidRDefault="006D3D1B" w:rsidP="006D3D1B"/>
    <w:p w14:paraId="25FA9AE9" w14:textId="77777777" w:rsidR="00025703" w:rsidRPr="00235450" w:rsidRDefault="00025703" w:rsidP="00025703">
      <w:pPr>
        <w:pStyle w:val="Artikel"/>
        <w:numPr>
          <w:ilvl w:val="0"/>
          <w:numId w:val="0"/>
        </w:numPr>
        <w:ind w:left="357"/>
        <w:rPr>
          <w:lang w:val="en-GB"/>
        </w:rPr>
      </w:pPr>
      <w:bookmarkStart w:id="1" w:name="_Toc385260767"/>
    </w:p>
    <w:p w14:paraId="4359275D" w14:textId="373A5E70" w:rsidR="00584479" w:rsidRPr="00235450" w:rsidRDefault="00584479" w:rsidP="00F1333D">
      <w:pPr>
        <w:pStyle w:val="Kop1"/>
        <w:numPr>
          <w:ilvl w:val="0"/>
          <w:numId w:val="30"/>
        </w:numPr>
      </w:pPr>
      <w:bookmarkStart w:id="2" w:name="_Toc54257542"/>
      <w:bookmarkEnd w:id="1"/>
      <w:r w:rsidRPr="00235450">
        <w:t>Admission</w:t>
      </w:r>
      <w:bookmarkEnd w:id="2"/>
    </w:p>
    <w:p w14:paraId="4E47EC88" w14:textId="61F6C5E2" w:rsidR="00896DCD" w:rsidRPr="00235450" w:rsidRDefault="0032045C" w:rsidP="008007F8">
      <w:pPr>
        <w:pStyle w:val="Artikel"/>
        <w:rPr>
          <w:b/>
          <w:lang w:val="en-GB"/>
        </w:rPr>
      </w:pPr>
      <w:r w:rsidRPr="00235450">
        <w:rPr>
          <w:b/>
          <w:lang w:val="en-GB"/>
        </w:rPr>
        <w:t>Admission</w:t>
      </w:r>
    </w:p>
    <w:p w14:paraId="53125647" w14:textId="77777777" w:rsidR="00F53E87" w:rsidRPr="00235450" w:rsidRDefault="00F53E87" w:rsidP="00F53E87"/>
    <w:p w14:paraId="6F6ECB69" w14:textId="3E201BBD" w:rsidR="009249F7" w:rsidRPr="00235450" w:rsidRDefault="00E8509C" w:rsidP="008434D9">
      <w:pPr>
        <w:rPr>
          <w:b/>
        </w:rPr>
      </w:pPr>
      <w:r w:rsidRPr="00235450">
        <w:t>The p</w:t>
      </w:r>
      <w:r w:rsidR="0032045C" w:rsidRPr="00235450">
        <w:t>rospective master</w:t>
      </w:r>
      <w:r w:rsidR="002D2C42" w:rsidRPr="00235450">
        <w:t>’s</w:t>
      </w:r>
      <w:r w:rsidR="0032045C" w:rsidRPr="00235450">
        <w:t xml:space="preserve"> student can enrol </w:t>
      </w:r>
      <w:r w:rsidR="002D2C42" w:rsidRPr="00235450">
        <w:t xml:space="preserve">in </w:t>
      </w:r>
      <w:r w:rsidR="0032045C" w:rsidRPr="00235450">
        <w:t>the master</w:t>
      </w:r>
      <w:r w:rsidR="002D2C42" w:rsidRPr="00235450">
        <w:t>’s</w:t>
      </w:r>
      <w:r w:rsidR="0032045C" w:rsidRPr="00235450">
        <w:t xml:space="preserve"> programme after the </w:t>
      </w:r>
      <w:r w:rsidR="001356E9" w:rsidRPr="00235450">
        <w:t>A</w:t>
      </w:r>
      <w:r w:rsidR="0032045C" w:rsidRPr="00235450">
        <w:t xml:space="preserve">dmission </w:t>
      </w:r>
      <w:r w:rsidR="001356E9" w:rsidRPr="00235450">
        <w:t>B</w:t>
      </w:r>
      <w:r w:rsidR="0032045C" w:rsidRPr="00235450">
        <w:t xml:space="preserve">oard has confirmed that </w:t>
      </w:r>
      <w:r w:rsidRPr="00235450">
        <w:t>he</w:t>
      </w:r>
      <w:r w:rsidR="002D2C42" w:rsidRPr="00235450">
        <w:t xml:space="preserve"> </w:t>
      </w:r>
      <w:r w:rsidR="00F53E87" w:rsidRPr="00235450">
        <w:t>fulfils</w:t>
      </w:r>
      <w:r w:rsidR="0032045C" w:rsidRPr="00235450">
        <w:t xml:space="preserve"> the </w:t>
      </w:r>
      <w:r w:rsidR="001356E9" w:rsidRPr="00235450">
        <w:t xml:space="preserve">admission </w:t>
      </w:r>
      <w:r w:rsidR="0032045C" w:rsidRPr="00235450">
        <w:t>requirements</w:t>
      </w:r>
      <w:r w:rsidR="009249F7" w:rsidRPr="00235450">
        <w:t>. These requirements and the admission procedure are set out in Appendix 1.</w:t>
      </w:r>
    </w:p>
    <w:p w14:paraId="073AB33D" w14:textId="2FF8829E" w:rsidR="00FB37C2" w:rsidRPr="00235450" w:rsidRDefault="00FB37C2" w:rsidP="00FB37C2">
      <w:pPr>
        <w:tabs>
          <w:tab w:val="left" w:pos="1860"/>
        </w:tabs>
      </w:pPr>
    </w:p>
    <w:p w14:paraId="0BA4063D" w14:textId="77777777" w:rsidR="00B96C6A" w:rsidRPr="00235450" w:rsidRDefault="00B96C6A" w:rsidP="00B96C6A"/>
    <w:p w14:paraId="2E901466" w14:textId="7BDA08ED" w:rsidR="000675D0" w:rsidRPr="00235450" w:rsidRDefault="000675D0" w:rsidP="00F1333D">
      <w:pPr>
        <w:pStyle w:val="Kop1"/>
        <w:numPr>
          <w:ilvl w:val="0"/>
          <w:numId w:val="30"/>
        </w:numPr>
      </w:pPr>
      <w:bookmarkStart w:id="3" w:name="_Toc54257543"/>
      <w:bookmarkStart w:id="4" w:name="_Toc385260770"/>
      <w:r w:rsidRPr="00235450">
        <w:t xml:space="preserve">Content, </w:t>
      </w:r>
      <w:r w:rsidR="00B76572" w:rsidRPr="00235450">
        <w:t>structure</w:t>
      </w:r>
      <w:r w:rsidRPr="00235450">
        <w:t xml:space="preserve"> and study load </w:t>
      </w:r>
      <w:r w:rsidR="004721E7" w:rsidRPr="00235450">
        <w:t xml:space="preserve">of </w:t>
      </w:r>
      <w:r w:rsidR="00941C16" w:rsidRPr="00235450">
        <w:t xml:space="preserve">the </w:t>
      </w:r>
      <w:r w:rsidR="00566460" w:rsidRPr="00235450">
        <w:t>programme</w:t>
      </w:r>
      <w:bookmarkEnd w:id="3"/>
      <w:r w:rsidRPr="00235450">
        <w:t xml:space="preserve"> </w:t>
      </w:r>
      <w:bookmarkEnd w:id="4"/>
    </w:p>
    <w:p w14:paraId="686B5668" w14:textId="77777777" w:rsidR="000675D0" w:rsidRPr="00235450" w:rsidRDefault="00AF76E0" w:rsidP="008007F8">
      <w:pPr>
        <w:pStyle w:val="Kop2"/>
        <w:rPr>
          <w:sz w:val="22"/>
          <w:szCs w:val="28"/>
        </w:rPr>
      </w:pPr>
      <w:bookmarkStart w:id="5" w:name="_Toc54257544"/>
      <w:r w:rsidRPr="00235450">
        <w:t>Section</w:t>
      </w:r>
      <w:r w:rsidR="00B92802" w:rsidRPr="00235450">
        <w:t xml:space="preserve"> </w:t>
      </w:r>
      <w:r w:rsidR="000675D0" w:rsidRPr="00235450">
        <w:t>1</w:t>
      </w:r>
      <w:r w:rsidR="000675D0" w:rsidRPr="00235450">
        <w:tab/>
        <w:t>General</w:t>
      </w:r>
      <w:bookmarkEnd w:id="5"/>
    </w:p>
    <w:p w14:paraId="78DECD50" w14:textId="77777777" w:rsidR="000675D0" w:rsidRPr="00235450" w:rsidRDefault="000675D0" w:rsidP="00A76CEF"/>
    <w:p w14:paraId="167767BB" w14:textId="77777777" w:rsidR="000675D0" w:rsidRPr="00235450" w:rsidRDefault="00B92802" w:rsidP="008007F8">
      <w:pPr>
        <w:pStyle w:val="Artikel"/>
        <w:rPr>
          <w:b/>
          <w:lang w:val="en-GB"/>
        </w:rPr>
      </w:pPr>
      <w:r w:rsidRPr="00235450">
        <w:rPr>
          <w:b/>
          <w:lang w:val="en-GB"/>
        </w:rPr>
        <w:t xml:space="preserve">Type of </w:t>
      </w:r>
      <w:r w:rsidR="00566460" w:rsidRPr="00235450">
        <w:rPr>
          <w:b/>
          <w:lang w:val="en-GB"/>
        </w:rPr>
        <w:t>programme</w:t>
      </w:r>
    </w:p>
    <w:p w14:paraId="7DD33989" w14:textId="77777777" w:rsidR="000675D0" w:rsidRPr="00235450" w:rsidRDefault="00AF5313" w:rsidP="00A76CEF">
      <w:r w:rsidRPr="00235450">
        <w:t>The Master Water</w:t>
      </w:r>
      <w:r w:rsidR="00E11279" w:rsidRPr="00235450">
        <w:t xml:space="preserve"> T</w:t>
      </w:r>
      <w:r w:rsidRPr="00235450">
        <w:t xml:space="preserve">echnology is a full time </w:t>
      </w:r>
      <w:r w:rsidR="00566460" w:rsidRPr="00235450">
        <w:t>programme</w:t>
      </w:r>
      <w:r w:rsidRPr="00235450">
        <w:t>.</w:t>
      </w:r>
    </w:p>
    <w:p w14:paraId="2B533D59" w14:textId="77777777" w:rsidR="00AF5313" w:rsidRPr="00235450" w:rsidRDefault="00AF5313" w:rsidP="00A76CEF"/>
    <w:p w14:paraId="33654D7C" w14:textId="77777777" w:rsidR="000675D0" w:rsidRPr="00235450" w:rsidRDefault="000675D0" w:rsidP="008007F8">
      <w:pPr>
        <w:pStyle w:val="Artikel"/>
        <w:rPr>
          <w:b/>
          <w:lang w:val="en-GB"/>
        </w:rPr>
      </w:pPr>
      <w:r w:rsidRPr="00235450">
        <w:rPr>
          <w:b/>
          <w:lang w:val="en-GB"/>
        </w:rPr>
        <w:t xml:space="preserve">Aims and learning outcomes of the </w:t>
      </w:r>
      <w:r w:rsidR="00566460" w:rsidRPr="00235450">
        <w:rPr>
          <w:b/>
          <w:lang w:val="en-GB"/>
        </w:rPr>
        <w:t>programme</w:t>
      </w:r>
    </w:p>
    <w:p w14:paraId="505A52D5" w14:textId="77777777" w:rsidR="000675D0" w:rsidRPr="00235450" w:rsidRDefault="000675D0" w:rsidP="00736839">
      <w:r w:rsidRPr="00235450">
        <w:t>The Study Handbook f</w:t>
      </w:r>
      <w:r w:rsidR="00B621EA" w:rsidRPr="00235450">
        <w:t xml:space="preserve">ormulates the aims of the programme </w:t>
      </w:r>
      <w:r w:rsidRPr="00235450">
        <w:t>and the intended learning outcomes. The learning outcomes describe the knowledge, understanding and skills which the student should possess after successful</w:t>
      </w:r>
      <w:r w:rsidR="00583E39" w:rsidRPr="00235450">
        <w:t>ly</w:t>
      </w:r>
      <w:r w:rsidRPr="00235450">
        <w:t xml:space="preserve"> complet</w:t>
      </w:r>
      <w:r w:rsidR="00583E39" w:rsidRPr="00235450">
        <w:t xml:space="preserve">ing </w:t>
      </w:r>
      <w:r w:rsidRPr="00235450">
        <w:t>the programme</w:t>
      </w:r>
      <w:r w:rsidR="005A54D5" w:rsidRPr="00235450">
        <w:t>.</w:t>
      </w:r>
    </w:p>
    <w:p w14:paraId="3428857A" w14:textId="77777777" w:rsidR="005A54D5" w:rsidRPr="00235450" w:rsidRDefault="005A54D5" w:rsidP="00A76CEF"/>
    <w:p w14:paraId="119579D5" w14:textId="77777777" w:rsidR="005A54D5" w:rsidRPr="00235450" w:rsidRDefault="005A54D5" w:rsidP="008007F8">
      <w:pPr>
        <w:pStyle w:val="Artikel"/>
        <w:rPr>
          <w:b/>
          <w:lang w:val="en-GB"/>
        </w:rPr>
      </w:pPr>
      <w:r w:rsidRPr="00235450">
        <w:rPr>
          <w:b/>
          <w:lang w:val="en-GB"/>
        </w:rPr>
        <w:t xml:space="preserve">Curriculum </w:t>
      </w:r>
      <w:r w:rsidR="00B92802" w:rsidRPr="00235450">
        <w:rPr>
          <w:b/>
          <w:lang w:val="en-GB"/>
        </w:rPr>
        <w:t xml:space="preserve">of </w:t>
      </w:r>
      <w:r w:rsidR="00941C16" w:rsidRPr="00235450">
        <w:rPr>
          <w:b/>
          <w:lang w:val="en-GB"/>
        </w:rPr>
        <w:t xml:space="preserve">the </w:t>
      </w:r>
      <w:r w:rsidR="00566460" w:rsidRPr="00235450">
        <w:rPr>
          <w:b/>
          <w:lang w:val="en-GB"/>
        </w:rPr>
        <w:t>programme</w:t>
      </w:r>
    </w:p>
    <w:p w14:paraId="2E6F920F" w14:textId="77777777" w:rsidR="005A54D5" w:rsidRPr="00235450" w:rsidRDefault="005A54D5" w:rsidP="00736839">
      <w:r w:rsidRPr="00235450">
        <w:t xml:space="preserve">The curriculum </w:t>
      </w:r>
      <w:r w:rsidR="00941C16" w:rsidRPr="00235450">
        <w:t>of the</w:t>
      </w:r>
      <w:r w:rsidR="00B92802" w:rsidRPr="00235450">
        <w:t xml:space="preserve"> </w:t>
      </w:r>
      <w:r w:rsidR="00566460" w:rsidRPr="00235450">
        <w:t>programme</w:t>
      </w:r>
      <w:r w:rsidRPr="00235450">
        <w:t xml:space="preserve"> can be found in the Study Handbook.</w:t>
      </w:r>
    </w:p>
    <w:p w14:paraId="09430D57" w14:textId="77777777" w:rsidR="00184534" w:rsidRPr="00235450" w:rsidRDefault="00184534" w:rsidP="00A76CEF">
      <w:bookmarkStart w:id="6" w:name="_Toc385260772"/>
    </w:p>
    <w:p w14:paraId="6C636572" w14:textId="77777777" w:rsidR="008B040E" w:rsidRPr="00235450" w:rsidRDefault="00AF76E0" w:rsidP="008007F8">
      <w:pPr>
        <w:pStyle w:val="Kop2"/>
      </w:pPr>
      <w:bookmarkStart w:id="7" w:name="_Toc54257545"/>
      <w:r w:rsidRPr="00235450">
        <w:lastRenderedPageBreak/>
        <w:t>Section</w:t>
      </w:r>
      <w:r w:rsidR="008B040E" w:rsidRPr="00235450">
        <w:t xml:space="preserve"> 2 </w:t>
      </w:r>
      <w:r w:rsidR="008B040E" w:rsidRPr="00235450">
        <w:tab/>
        <w:t xml:space="preserve">General </w:t>
      </w:r>
      <w:r w:rsidR="004721E7" w:rsidRPr="00235450">
        <w:t>structure</w:t>
      </w:r>
      <w:r w:rsidR="008B040E" w:rsidRPr="00235450">
        <w:t xml:space="preserve"> and study load of </w:t>
      </w:r>
      <w:r w:rsidR="00AF5313" w:rsidRPr="00235450">
        <w:t xml:space="preserve">the </w:t>
      </w:r>
      <w:r w:rsidR="008B040E" w:rsidRPr="00235450">
        <w:t>programme</w:t>
      </w:r>
      <w:bookmarkEnd w:id="7"/>
      <w:r w:rsidR="008B040E" w:rsidRPr="00235450">
        <w:t xml:space="preserve"> </w:t>
      </w:r>
      <w:bookmarkEnd w:id="6"/>
    </w:p>
    <w:p w14:paraId="3C37B203" w14:textId="77777777" w:rsidR="00640A5C" w:rsidRPr="00235450" w:rsidRDefault="00640A5C" w:rsidP="00A76CEF">
      <w:pPr>
        <w:rPr>
          <w:rFonts w:eastAsiaTheme="majorEastAsia" w:cstheme="majorBidi"/>
          <w:bCs/>
          <w:szCs w:val="26"/>
        </w:rPr>
      </w:pPr>
    </w:p>
    <w:p w14:paraId="3FB4F0A3" w14:textId="21E698C1" w:rsidR="00640A5C" w:rsidRPr="00235450" w:rsidRDefault="00C606A5" w:rsidP="00CB5206">
      <w:pPr>
        <w:pStyle w:val="Artikel"/>
        <w:rPr>
          <w:b/>
          <w:lang w:val="en-GB"/>
        </w:rPr>
      </w:pPr>
      <w:r w:rsidRPr="00235450">
        <w:rPr>
          <w:b/>
          <w:lang w:val="en-GB"/>
        </w:rPr>
        <w:t xml:space="preserve">The </w:t>
      </w:r>
      <w:r w:rsidR="00640A5C" w:rsidRPr="00235450">
        <w:rPr>
          <w:b/>
          <w:lang w:val="en-GB"/>
        </w:rPr>
        <w:t>M</w:t>
      </w:r>
      <w:r w:rsidRPr="00235450">
        <w:rPr>
          <w:b/>
          <w:lang w:val="en-GB"/>
        </w:rPr>
        <w:t>WT</w:t>
      </w:r>
      <w:r w:rsidR="00640A5C" w:rsidRPr="00235450">
        <w:rPr>
          <w:b/>
          <w:lang w:val="en-GB"/>
        </w:rPr>
        <w:t xml:space="preserve"> programme</w:t>
      </w:r>
    </w:p>
    <w:p w14:paraId="1B806500" w14:textId="77777777" w:rsidR="00640A5C" w:rsidRPr="00235450" w:rsidRDefault="00640A5C" w:rsidP="00F1333D">
      <w:pPr>
        <w:numPr>
          <w:ilvl w:val="0"/>
          <w:numId w:val="4"/>
        </w:numPr>
        <w:contextualSpacing/>
      </w:pPr>
      <w:r w:rsidRPr="00235450">
        <w:t xml:space="preserve">The </w:t>
      </w:r>
      <w:r w:rsidR="00836DA7" w:rsidRPr="00235450">
        <w:t xml:space="preserve">MWT </w:t>
      </w:r>
      <w:r w:rsidRPr="00235450">
        <w:t>master</w:t>
      </w:r>
      <w:r w:rsidR="00213FA2" w:rsidRPr="00235450">
        <w:t>’s</w:t>
      </w:r>
      <w:r w:rsidRPr="00235450">
        <w:t xml:space="preserve"> programme represents a total study load of 120 credits; </w:t>
      </w:r>
    </w:p>
    <w:p w14:paraId="27AF64ED" w14:textId="655646E5" w:rsidR="00640A5C" w:rsidRPr="00235450" w:rsidRDefault="0071164D" w:rsidP="00F1333D">
      <w:pPr>
        <w:numPr>
          <w:ilvl w:val="0"/>
          <w:numId w:val="4"/>
        </w:numPr>
        <w:contextualSpacing/>
      </w:pPr>
      <w:r w:rsidRPr="00235450">
        <w:rPr>
          <w:rFonts w:eastAsiaTheme="majorEastAsia" w:cstheme="majorBidi"/>
          <w:bCs/>
          <w:szCs w:val="26"/>
        </w:rPr>
        <w:t xml:space="preserve">The master’s programme </w:t>
      </w:r>
      <w:r w:rsidR="00AC17C2" w:rsidRPr="00235450">
        <w:rPr>
          <w:rFonts w:eastAsiaTheme="majorEastAsia" w:cstheme="majorBidi"/>
          <w:bCs/>
          <w:szCs w:val="26"/>
        </w:rPr>
        <w:t xml:space="preserve">contains </w:t>
      </w:r>
      <w:r w:rsidRPr="00235450">
        <w:t xml:space="preserve">an MSc thesis </w:t>
      </w:r>
      <w:r w:rsidR="00C606A5" w:rsidRPr="00235450">
        <w:t>representing a study</w:t>
      </w:r>
      <w:r w:rsidR="00F53E87" w:rsidRPr="00235450">
        <w:t xml:space="preserve"> </w:t>
      </w:r>
      <w:r w:rsidR="00C606A5" w:rsidRPr="00235450">
        <w:t xml:space="preserve">load </w:t>
      </w:r>
      <w:r w:rsidRPr="00235450">
        <w:t xml:space="preserve">of </w:t>
      </w:r>
      <w:r w:rsidRPr="00235450">
        <w:rPr>
          <w:rFonts w:eastAsiaTheme="majorEastAsia" w:cstheme="majorBidi"/>
          <w:bCs/>
          <w:szCs w:val="26"/>
        </w:rPr>
        <w:t>40</w:t>
      </w:r>
      <w:r w:rsidR="006D5BB4" w:rsidRPr="00235450">
        <w:rPr>
          <w:rFonts w:eastAsiaTheme="majorEastAsia" w:cstheme="majorBidi"/>
          <w:bCs/>
          <w:szCs w:val="26"/>
        </w:rPr>
        <w:t xml:space="preserve"> credits</w:t>
      </w:r>
      <w:r w:rsidRPr="00235450">
        <w:t xml:space="preserve"> and an academic internship</w:t>
      </w:r>
      <w:r w:rsidR="00C606A5" w:rsidRPr="00235450">
        <w:t xml:space="preserve"> with a study</w:t>
      </w:r>
      <w:r w:rsidR="00F53E87" w:rsidRPr="00235450">
        <w:t xml:space="preserve"> </w:t>
      </w:r>
      <w:r w:rsidR="00C606A5" w:rsidRPr="00235450">
        <w:t>load</w:t>
      </w:r>
      <w:r w:rsidRPr="00235450">
        <w:rPr>
          <w:rFonts w:eastAsiaTheme="majorEastAsia" w:cstheme="majorBidi"/>
          <w:bCs/>
          <w:szCs w:val="26"/>
        </w:rPr>
        <w:t xml:space="preserve"> of </w:t>
      </w:r>
      <w:r w:rsidR="002D4B7C" w:rsidRPr="00235450">
        <w:rPr>
          <w:rFonts w:eastAsiaTheme="majorEastAsia" w:cstheme="majorBidi"/>
          <w:bCs/>
          <w:szCs w:val="26"/>
        </w:rPr>
        <w:t xml:space="preserve">20 </w:t>
      </w:r>
      <w:r w:rsidR="006D5BB4" w:rsidRPr="00235450">
        <w:rPr>
          <w:rFonts w:eastAsiaTheme="majorEastAsia" w:cstheme="majorBidi"/>
          <w:bCs/>
          <w:szCs w:val="26"/>
        </w:rPr>
        <w:t>credits</w:t>
      </w:r>
      <w:r w:rsidRPr="00235450">
        <w:t>.</w:t>
      </w:r>
    </w:p>
    <w:p w14:paraId="6A64FE01" w14:textId="77777777" w:rsidR="005859DE" w:rsidRPr="00235450" w:rsidRDefault="005859DE" w:rsidP="00A76CEF">
      <w:pPr>
        <w:contextualSpacing/>
      </w:pPr>
      <w:bookmarkStart w:id="8" w:name="_Toc385260773"/>
    </w:p>
    <w:p w14:paraId="3F716333" w14:textId="77777777" w:rsidR="005859DE" w:rsidRPr="00235450" w:rsidRDefault="00AF76E0" w:rsidP="00213FA2">
      <w:pPr>
        <w:pStyle w:val="Kop2"/>
      </w:pPr>
      <w:bookmarkStart w:id="9" w:name="_Toc54257546"/>
      <w:r w:rsidRPr="00235450">
        <w:t>Section</w:t>
      </w:r>
      <w:r w:rsidR="005859DE" w:rsidRPr="00235450">
        <w:t xml:space="preserve"> 3</w:t>
      </w:r>
      <w:r w:rsidR="005859DE" w:rsidRPr="00235450">
        <w:tab/>
      </w:r>
      <w:bookmarkEnd w:id="8"/>
      <w:r w:rsidR="005859DE" w:rsidRPr="00235450">
        <w:t xml:space="preserve"> </w:t>
      </w:r>
      <w:r w:rsidR="004721E7" w:rsidRPr="00235450">
        <w:t>Composition of the individual examination programme</w:t>
      </w:r>
      <w:bookmarkEnd w:id="9"/>
    </w:p>
    <w:p w14:paraId="7BF77883" w14:textId="77777777" w:rsidR="005859DE" w:rsidRPr="00235450" w:rsidRDefault="005859DE" w:rsidP="005859DE">
      <w:pPr>
        <w:ind w:left="720"/>
        <w:contextualSpacing/>
        <w:rPr>
          <w:rFonts w:eastAsiaTheme="majorEastAsia" w:cstheme="majorBidi"/>
          <w:bCs/>
          <w:szCs w:val="26"/>
        </w:rPr>
      </w:pPr>
    </w:p>
    <w:p w14:paraId="5FD72363" w14:textId="77777777" w:rsidR="005859DE" w:rsidRPr="00235450" w:rsidRDefault="00CF6CD6" w:rsidP="00213FA2">
      <w:pPr>
        <w:pStyle w:val="Artikel"/>
        <w:rPr>
          <w:b/>
          <w:lang w:val="en-GB"/>
        </w:rPr>
      </w:pPr>
      <w:r w:rsidRPr="00235450">
        <w:rPr>
          <w:b/>
          <w:lang w:val="en-GB"/>
        </w:rPr>
        <w:t>The individual examination programme</w:t>
      </w:r>
      <w:r w:rsidRPr="00235450">
        <w:rPr>
          <w:b/>
          <w:lang w:val="en-GB"/>
        </w:rPr>
        <w:tab/>
      </w:r>
    </w:p>
    <w:p w14:paraId="5B757916" w14:textId="4559F183" w:rsidR="005A54D5" w:rsidRPr="00235450" w:rsidRDefault="00CF6CD6" w:rsidP="00F1333D">
      <w:pPr>
        <w:numPr>
          <w:ilvl w:val="0"/>
          <w:numId w:val="5"/>
        </w:numPr>
        <w:contextualSpacing/>
        <w:rPr>
          <w:rFonts w:eastAsiaTheme="majorEastAsia" w:cstheme="majorBidi"/>
          <w:bCs/>
          <w:szCs w:val="17"/>
        </w:rPr>
      </w:pPr>
      <w:r w:rsidRPr="00235450">
        <w:t>Each student compiles an individual examination programme. The individual programme comprises the compulsory course</w:t>
      </w:r>
      <w:r w:rsidR="00946CBA" w:rsidRPr="00235450">
        <w:t>s</w:t>
      </w:r>
      <w:r w:rsidR="00793AAB" w:rsidRPr="00235450">
        <w:t xml:space="preserve"> and</w:t>
      </w:r>
      <w:r w:rsidRPr="00235450">
        <w:t xml:space="preserve"> the limited</w:t>
      </w:r>
      <w:r w:rsidR="009309EF" w:rsidRPr="00235450">
        <w:t>-</w:t>
      </w:r>
      <w:r w:rsidRPr="00235450">
        <w:t xml:space="preserve">choice </w:t>
      </w:r>
      <w:r w:rsidR="00534EBE" w:rsidRPr="00235450">
        <w:t>courses</w:t>
      </w:r>
      <w:r w:rsidR="00793AAB" w:rsidRPr="00235450">
        <w:t>.</w:t>
      </w:r>
      <w:r w:rsidRPr="00235450">
        <w:t xml:space="preserve">  </w:t>
      </w:r>
    </w:p>
    <w:p w14:paraId="44B31EF4" w14:textId="77777777" w:rsidR="00CF6CD6" w:rsidRPr="00235450" w:rsidRDefault="00CF6CD6" w:rsidP="00F1333D">
      <w:pPr>
        <w:numPr>
          <w:ilvl w:val="0"/>
          <w:numId w:val="5"/>
        </w:numPr>
        <w:contextualSpacing/>
        <w:rPr>
          <w:rFonts w:eastAsiaTheme="majorEastAsia" w:cstheme="majorBidi"/>
          <w:bCs/>
          <w:szCs w:val="17"/>
        </w:rPr>
      </w:pPr>
      <w:r w:rsidRPr="00235450">
        <w:rPr>
          <w:rFonts w:eastAsiaTheme="majorEastAsia" w:cstheme="majorBidi"/>
          <w:bCs/>
          <w:szCs w:val="17"/>
        </w:rPr>
        <w:t>The individual examination programme must</w:t>
      </w:r>
      <w:r w:rsidR="00583E39" w:rsidRPr="00235450">
        <w:rPr>
          <w:rFonts w:eastAsiaTheme="majorEastAsia" w:cstheme="majorBidi"/>
          <w:bCs/>
          <w:szCs w:val="17"/>
        </w:rPr>
        <w:t xml:space="preserve"> be approved by the </w:t>
      </w:r>
      <w:r w:rsidR="00213FA2" w:rsidRPr="00235450">
        <w:rPr>
          <w:rFonts w:eastAsiaTheme="majorEastAsia" w:cstheme="majorBidi"/>
          <w:bCs/>
          <w:szCs w:val="17"/>
        </w:rPr>
        <w:t>Examining Board</w:t>
      </w:r>
      <w:r w:rsidRPr="00235450">
        <w:rPr>
          <w:rFonts w:eastAsiaTheme="majorEastAsia" w:cstheme="majorBidi"/>
          <w:bCs/>
          <w:szCs w:val="17"/>
        </w:rPr>
        <w:t xml:space="preserve">. This procedure is outlined in the </w:t>
      </w:r>
      <w:r w:rsidR="00681200" w:rsidRPr="00235450">
        <w:rPr>
          <w:rFonts w:eastAsiaTheme="majorEastAsia" w:cstheme="majorBidi"/>
          <w:bCs/>
          <w:szCs w:val="17"/>
        </w:rPr>
        <w:t xml:space="preserve">Rules and </w:t>
      </w:r>
      <w:r w:rsidRPr="00235450">
        <w:rPr>
          <w:rFonts w:eastAsiaTheme="majorEastAsia" w:cstheme="majorBidi"/>
          <w:bCs/>
          <w:szCs w:val="17"/>
        </w:rPr>
        <w:t>Regulations.</w:t>
      </w:r>
    </w:p>
    <w:p w14:paraId="26B747F1" w14:textId="77777777" w:rsidR="00CF6CD6" w:rsidRPr="00235450" w:rsidRDefault="00CF6CD6" w:rsidP="00F1333D">
      <w:pPr>
        <w:numPr>
          <w:ilvl w:val="0"/>
          <w:numId w:val="5"/>
        </w:numPr>
        <w:contextualSpacing/>
        <w:rPr>
          <w:rFonts w:eastAsiaTheme="majorEastAsia" w:cstheme="majorBidi"/>
          <w:bCs/>
          <w:szCs w:val="17"/>
        </w:rPr>
      </w:pPr>
      <w:r w:rsidRPr="00235450">
        <w:rPr>
          <w:rFonts w:eastAsiaTheme="majorEastAsia" w:cstheme="majorBidi"/>
          <w:bCs/>
          <w:szCs w:val="17"/>
        </w:rPr>
        <w:t>The individual examination programme may consist of more credits than the legally required study load of the programme.</w:t>
      </w:r>
    </w:p>
    <w:p w14:paraId="604F9F19" w14:textId="78B0FBA0" w:rsidR="00836DA7" w:rsidRPr="00235450" w:rsidRDefault="00836DA7" w:rsidP="00F1333D">
      <w:pPr>
        <w:numPr>
          <w:ilvl w:val="0"/>
          <w:numId w:val="5"/>
        </w:numPr>
        <w:contextualSpacing/>
        <w:rPr>
          <w:rFonts w:eastAsiaTheme="majorEastAsia" w:cstheme="majorBidi"/>
          <w:bCs/>
          <w:szCs w:val="17"/>
        </w:rPr>
      </w:pPr>
      <w:r w:rsidRPr="00235450">
        <w:rPr>
          <w:rFonts w:eastAsiaTheme="majorEastAsia" w:cstheme="majorBidi"/>
          <w:bCs/>
          <w:szCs w:val="17"/>
        </w:rPr>
        <w:t xml:space="preserve">The individual examination programme for the master’s programme </w:t>
      </w:r>
      <w:r w:rsidR="00CE559B" w:rsidRPr="00235450">
        <w:rPr>
          <w:rFonts w:eastAsiaTheme="majorEastAsia" w:cstheme="majorBidi"/>
          <w:bCs/>
          <w:szCs w:val="17"/>
        </w:rPr>
        <w:t>shall not</w:t>
      </w:r>
      <w:r w:rsidRPr="00235450">
        <w:rPr>
          <w:rFonts w:eastAsiaTheme="majorEastAsia" w:cstheme="majorBidi"/>
          <w:bCs/>
          <w:szCs w:val="17"/>
        </w:rPr>
        <w:t xml:space="preserve"> contain courses which the student followed while enrolled in </w:t>
      </w:r>
      <w:r w:rsidR="00C606A5" w:rsidRPr="00235450">
        <w:rPr>
          <w:rFonts w:eastAsiaTheme="majorEastAsia" w:cstheme="majorBidi"/>
          <w:bCs/>
          <w:szCs w:val="17"/>
        </w:rPr>
        <w:t xml:space="preserve">a </w:t>
      </w:r>
      <w:r w:rsidRPr="00235450">
        <w:rPr>
          <w:rFonts w:eastAsiaTheme="majorEastAsia" w:cstheme="majorBidi"/>
          <w:bCs/>
          <w:szCs w:val="17"/>
        </w:rPr>
        <w:t>bachelor’s programme</w:t>
      </w:r>
      <w:r w:rsidR="00C606A5" w:rsidRPr="00235450">
        <w:rPr>
          <w:rFonts w:eastAsiaTheme="majorEastAsia" w:cstheme="majorBidi"/>
          <w:bCs/>
          <w:szCs w:val="17"/>
        </w:rPr>
        <w:t xml:space="preserve"> of one of the joint partner institutions</w:t>
      </w:r>
      <w:r w:rsidRPr="00235450">
        <w:rPr>
          <w:rFonts w:eastAsiaTheme="majorEastAsia" w:cstheme="majorBidi"/>
          <w:bCs/>
          <w:szCs w:val="17"/>
        </w:rPr>
        <w:t>, or exemptions for these courses, regardless of the result achieved.</w:t>
      </w:r>
    </w:p>
    <w:p w14:paraId="69CA2285" w14:textId="77777777" w:rsidR="00836DA7" w:rsidRPr="00235450" w:rsidRDefault="00836DA7" w:rsidP="00F53E87">
      <w:pPr>
        <w:pStyle w:val="Lijstalinea"/>
        <w:rPr>
          <w:rFonts w:eastAsiaTheme="majorEastAsia" w:cstheme="majorBidi"/>
          <w:bCs/>
          <w:szCs w:val="17"/>
        </w:rPr>
      </w:pPr>
    </w:p>
    <w:p w14:paraId="0A9B2528" w14:textId="77777777" w:rsidR="00836DA7" w:rsidRPr="00235450" w:rsidRDefault="00836DA7" w:rsidP="008C718D">
      <w:pPr>
        <w:pStyle w:val="Artikel"/>
        <w:rPr>
          <w:b/>
        </w:rPr>
      </w:pPr>
      <w:r w:rsidRPr="00235450">
        <w:rPr>
          <w:b/>
        </w:rPr>
        <w:t>Extra courses</w:t>
      </w:r>
    </w:p>
    <w:p w14:paraId="23BD9BCB" w14:textId="13CEF7FA" w:rsidR="006606D5" w:rsidRPr="006606D5" w:rsidRDefault="006606D5" w:rsidP="006606D5">
      <w:pPr>
        <w:rPr>
          <w:rFonts w:eastAsiaTheme="majorEastAsia" w:cstheme="majorBidi"/>
          <w:b/>
          <w:szCs w:val="17"/>
        </w:rPr>
      </w:pPr>
      <w:r w:rsidRPr="006606D5">
        <w:rPr>
          <w:rFonts w:eastAsiaTheme="majorEastAsia" w:cstheme="majorBidi"/>
          <w:b/>
          <w:szCs w:val="17"/>
        </w:rPr>
        <w:t xml:space="preserve">N.B. The text of Article 13 below is valid until 1 December 2020. With effect from 1 December 2020 an amended text will apply which is included in </w:t>
      </w:r>
      <w:hyperlink w:anchor="_Addendum_2_Education" w:history="1">
        <w:r w:rsidRPr="00F44A74">
          <w:rPr>
            <w:rStyle w:val="Hyperlink"/>
            <w:rFonts w:eastAsiaTheme="majorEastAsia" w:cstheme="majorBidi"/>
            <w:b/>
            <w:szCs w:val="17"/>
          </w:rPr>
          <w:t>Adden</w:t>
        </w:r>
        <w:r w:rsidRPr="00F44A74">
          <w:rPr>
            <w:rStyle w:val="Hyperlink"/>
            <w:rFonts w:eastAsiaTheme="majorEastAsia" w:cstheme="majorBidi"/>
            <w:b/>
            <w:szCs w:val="17"/>
          </w:rPr>
          <w:t>d</w:t>
        </w:r>
        <w:r w:rsidRPr="00F44A74">
          <w:rPr>
            <w:rStyle w:val="Hyperlink"/>
            <w:rFonts w:eastAsiaTheme="majorEastAsia" w:cstheme="majorBidi"/>
            <w:b/>
            <w:szCs w:val="17"/>
          </w:rPr>
          <w:t>um 2</w:t>
        </w:r>
      </w:hyperlink>
      <w:r w:rsidRPr="006606D5">
        <w:rPr>
          <w:rFonts w:eastAsiaTheme="majorEastAsia" w:cstheme="majorBidi"/>
          <w:b/>
          <w:szCs w:val="17"/>
        </w:rPr>
        <w:t xml:space="preserve"> of this EER.    </w:t>
      </w:r>
    </w:p>
    <w:p w14:paraId="3F527D87" w14:textId="4841EA12" w:rsidR="00DD3D9D" w:rsidRPr="00235450" w:rsidRDefault="00C606A5" w:rsidP="00AC17C2">
      <w:pPr>
        <w:pStyle w:val="Lijstalinea"/>
        <w:numPr>
          <w:ilvl w:val="0"/>
          <w:numId w:val="35"/>
        </w:numPr>
        <w:rPr>
          <w:rFonts w:eastAsiaTheme="majorEastAsia" w:cstheme="majorBidi"/>
          <w:bCs/>
          <w:szCs w:val="17"/>
        </w:rPr>
      </w:pPr>
      <w:bookmarkStart w:id="10" w:name="_Hlk54257428"/>
      <w:r w:rsidRPr="00235450">
        <w:rPr>
          <w:rFonts w:eastAsiaTheme="majorEastAsia" w:cstheme="majorBidi"/>
          <w:bCs/>
          <w:szCs w:val="17"/>
        </w:rPr>
        <w:t>The</w:t>
      </w:r>
      <w:r w:rsidR="00836DA7" w:rsidRPr="00235450">
        <w:rPr>
          <w:rFonts w:eastAsiaTheme="majorEastAsia" w:cstheme="majorBidi"/>
          <w:bCs/>
          <w:szCs w:val="17"/>
        </w:rPr>
        <w:t xml:space="preserve"> student can register for extra courses and interim examinations </w:t>
      </w:r>
      <w:r w:rsidR="008C7B21" w:rsidRPr="00235450">
        <w:rPr>
          <w:rFonts w:eastAsiaTheme="majorEastAsia" w:cstheme="majorBidi"/>
          <w:bCs/>
          <w:szCs w:val="17"/>
        </w:rPr>
        <w:t xml:space="preserve">provided by Wageningen University or by other institutes of higher education, either in the Netherlands or abroad, </w:t>
      </w:r>
      <w:r w:rsidR="00836DA7" w:rsidRPr="00235450">
        <w:rPr>
          <w:rFonts w:eastAsiaTheme="majorEastAsia" w:cstheme="majorBidi"/>
          <w:bCs/>
          <w:szCs w:val="17"/>
        </w:rPr>
        <w:t>beside the individual examination programme. These courses do not influence the result of the final exam</w:t>
      </w:r>
      <w:r w:rsidR="003F6444" w:rsidRPr="00235450">
        <w:rPr>
          <w:rFonts w:eastAsiaTheme="majorEastAsia" w:cstheme="majorBidi"/>
          <w:bCs/>
          <w:szCs w:val="17"/>
        </w:rPr>
        <w:t>ination</w:t>
      </w:r>
      <w:r w:rsidR="00836DA7" w:rsidRPr="00235450">
        <w:rPr>
          <w:rFonts w:eastAsiaTheme="majorEastAsia" w:cstheme="majorBidi"/>
          <w:bCs/>
          <w:szCs w:val="17"/>
        </w:rPr>
        <w:t>. Extra courses will be stated on the diploma supplement, when the positive result is registered in the student information system before the</w:t>
      </w:r>
      <w:r w:rsidR="00634BD6" w:rsidRPr="00235450">
        <w:rPr>
          <w:rFonts w:eastAsiaTheme="majorEastAsia" w:cstheme="majorBidi"/>
          <w:bCs/>
          <w:szCs w:val="17"/>
        </w:rPr>
        <w:t xml:space="preserve"> examination date (see </w:t>
      </w:r>
      <w:r w:rsidR="00DD3D9D" w:rsidRPr="00235450">
        <w:rPr>
          <w:rFonts w:eastAsiaTheme="majorEastAsia" w:cstheme="majorBidi"/>
          <w:bCs/>
          <w:szCs w:val="17"/>
        </w:rPr>
        <w:t>article 40</w:t>
      </w:r>
      <w:r w:rsidR="00836DA7" w:rsidRPr="00235450">
        <w:rPr>
          <w:rFonts w:eastAsiaTheme="majorEastAsia" w:cstheme="majorBidi"/>
          <w:bCs/>
          <w:szCs w:val="17"/>
        </w:rPr>
        <w:t>)</w:t>
      </w:r>
      <w:r w:rsidR="002D58D8" w:rsidRPr="00235450">
        <w:rPr>
          <w:rFonts w:eastAsiaTheme="majorEastAsia" w:cstheme="majorBidi"/>
          <w:bCs/>
          <w:szCs w:val="17"/>
        </w:rPr>
        <w:t>.</w:t>
      </w:r>
    </w:p>
    <w:p w14:paraId="30B271E8" w14:textId="79D6D720" w:rsidR="00836DA7" w:rsidRPr="00235450" w:rsidRDefault="00115C63" w:rsidP="00713FEF">
      <w:pPr>
        <w:pStyle w:val="Lijstalinea"/>
        <w:numPr>
          <w:ilvl w:val="0"/>
          <w:numId w:val="35"/>
        </w:numPr>
        <w:rPr>
          <w:rFonts w:eastAsiaTheme="majorEastAsia" w:cstheme="majorBidi"/>
          <w:bCs/>
          <w:szCs w:val="17"/>
        </w:rPr>
      </w:pPr>
      <w:r w:rsidRPr="00235450">
        <w:rPr>
          <w:rFonts w:eastAsiaTheme="majorEastAsia" w:cstheme="majorBidi"/>
          <w:bCs/>
          <w:szCs w:val="17"/>
        </w:rPr>
        <w:t>The examining board will decide on a course grade conversion after determination of grading standards which are determined in the Rules and Regulations</w:t>
      </w:r>
      <w:r w:rsidR="00AC17C2" w:rsidRPr="00235450">
        <w:rPr>
          <w:rFonts w:eastAsiaTheme="majorEastAsia" w:cstheme="majorBidi"/>
          <w:bCs/>
          <w:szCs w:val="17"/>
        </w:rPr>
        <w:t xml:space="preserve">. </w:t>
      </w:r>
    </w:p>
    <w:bookmarkEnd w:id="10"/>
    <w:p w14:paraId="4207DEE3" w14:textId="77777777" w:rsidR="00361486" w:rsidRPr="00235450" w:rsidRDefault="00361486" w:rsidP="00361486">
      <w:pPr>
        <w:pStyle w:val="Lijstalinea"/>
        <w:rPr>
          <w:rFonts w:eastAsiaTheme="majorEastAsia" w:cstheme="majorBidi"/>
          <w:bCs/>
          <w:szCs w:val="17"/>
        </w:rPr>
      </w:pPr>
    </w:p>
    <w:p w14:paraId="48C8AE91" w14:textId="3640B80E" w:rsidR="00F853EE" w:rsidRPr="00235450" w:rsidRDefault="00AF76E0" w:rsidP="008239D6">
      <w:pPr>
        <w:pStyle w:val="Kop2"/>
      </w:pPr>
      <w:bookmarkStart w:id="11" w:name="_Toc385260774"/>
      <w:bookmarkStart w:id="12" w:name="_Toc512243307"/>
      <w:bookmarkStart w:id="13" w:name="_Toc54257547"/>
      <w:r w:rsidRPr="00235450">
        <w:t>Section</w:t>
      </w:r>
      <w:r w:rsidR="00F853EE" w:rsidRPr="00235450">
        <w:t xml:space="preserve"> 4 </w:t>
      </w:r>
      <w:r w:rsidR="00F853EE" w:rsidRPr="00235450">
        <w:tab/>
      </w:r>
      <w:r w:rsidR="008007F8" w:rsidRPr="00235450">
        <w:t>Flexible</w:t>
      </w:r>
      <w:r w:rsidR="007B6F47" w:rsidRPr="00235450">
        <w:t xml:space="preserve"> </w:t>
      </w:r>
      <w:bookmarkEnd w:id="11"/>
      <w:r w:rsidR="00F853EE" w:rsidRPr="00235450">
        <w:t>master</w:t>
      </w:r>
      <w:r w:rsidR="007A5F32" w:rsidRPr="00235450">
        <w:t>’s</w:t>
      </w:r>
      <w:r w:rsidR="00F853EE" w:rsidRPr="00235450">
        <w:t xml:space="preserve"> programme</w:t>
      </w:r>
      <w:bookmarkEnd w:id="12"/>
      <w:bookmarkEnd w:id="13"/>
    </w:p>
    <w:p w14:paraId="55DDCFFC" w14:textId="322353C1" w:rsidR="00F853EE" w:rsidRPr="00235450" w:rsidRDefault="00F853EE" w:rsidP="008239D6">
      <w:pPr>
        <w:pStyle w:val="Kop2"/>
      </w:pPr>
    </w:p>
    <w:p w14:paraId="3980D22F" w14:textId="48F84236" w:rsidR="00F853EE" w:rsidRPr="00235450" w:rsidRDefault="008007F8" w:rsidP="003B7440">
      <w:pPr>
        <w:pStyle w:val="Artikel"/>
        <w:rPr>
          <w:b/>
        </w:rPr>
      </w:pPr>
      <w:proofErr w:type="spellStart"/>
      <w:r w:rsidRPr="00235450">
        <w:rPr>
          <w:b/>
        </w:rPr>
        <w:t>Flexible</w:t>
      </w:r>
      <w:proofErr w:type="spellEnd"/>
      <w:r w:rsidR="007B6F47" w:rsidRPr="00235450">
        <w:rPr>
          <w:b/>
        </w:rPr>
        <w:t xml:space="preserve"> </w:t>
      </w:r>
      <w:proofErr w:type="spellStart"/>
      <w:r w:rsidR="00F853EE" w:rsidRPr="00235450">
        <w:rPr>
          <w:b/>
        </w:rPr>
        <w:t>master</w:t>
      </w:r>
      <w:r w:rsidR="000A1F66" w:rsidRPr="00235450">
        <w:rPr>
          <w:b/>
        </w:rPr>
        <w:t>’s</w:t>
      </w:r>
      <w:proofErr w:type="spellEnd"/>
      <w:r w:rsidR="00F853EE" w:rsidRPr="00235450">
        <w:rPr>
          <w:b/>
        </w:rPr>
        <w:t xml:space="preserve"> </w:t>
      </w:r>
      <w:proofErr w:type="spellStart"/>
      <w:r w:rsidR="00F853EE" w:rsidRPr="00235450">
        <w:rPr>
          <w:b/>
        </w:rPr>
        <w:t>programme</w:t>
      </w:r>
      <w:proofErr w:type="spellEnd"/>
      <w:r w:rsidR="00F853EE" w:rsidRPr="00235450">
        <w:rPr>
          <w:b/>
        </w:rPr>
        <w:t xml:space="preserve"> </w:t>
      </w:r>
    </w:p>
    <w:p w14:paraId="1E0C3489" w14:textId="239706F4" w:rsidR="007B6F47" w:rsidRPr="00235450" w:rsidRDefault="00F853EE" w:rsidP="00905822">
      <w:r w:rsidRPr="00235450">
        <w:t xml:space="preserve">Each student has the right to compile a </w:t>
      </w:r>
      <w:r w:rsidR="00922ACB" w:rsidRPr="00235450">
        <w:t>flexible</w:t>
      </w:r>
      <w:r w:rsidRPr="00235450">
        <w:t xml:space="preserve"> master</w:t>
      </w:r>
      <w:r w:rsidR="007A5F32" w:rsidRPr="00235450">
        <w:t>’s</w:t>
      </w:r>
      <w:r w:rsidRPr="00235450">
        <w:t xml:space="preserve"> programme.</w:t>
      </w:r>
      <w:r w:rsidR="007B6F47" w:rsidRPr="00235450">
        <w:t xml:space="preserve"> The</w:t>
      </w:r>
      <w:r w:rsidR="00922ACB" w:rsidRPr="00235450">
        <w:t xml:space="preserve"> </w:t>
      </w:r>
      <w:r w:rsidR="00213FA2" w:rsidRPr="00235450">
        <w:t>Examining Board</w:t>
      </w:r>
      <w:r w:rsidR="007B6F47" w:rsidRPr="00235450">
        <w:t xml:space="preserve"> must give </w:t>
      </w:r>
      <w:r w:rsidR="00922ACB" w:rsidRPr="00235450">
        <w:t xml:space="preserve">its </w:t>
      </w:r>
      <w:r w:rsidR="007B6F47" w:rsidRPr="00235450">
        <w:t xml:space="preserve">consent for the compilation of such </w:t>
      </w:r>
      <w:r w:rsidR="00922ACB" w:rsidRPr="00235450">
        <w:t>a p</w:t>
      </w:r>
      <w:r w:rsidR="007B6F47" w:rsidRPr="00235450">
        <w:t xml:space="preserve">rogramme. </w:t>
      </w:r>
      <w:r w:rsidR="009719E0" w:rsidRPr="00235450">
        <w:t xml:space="preserve">The regulation regarding the flexible programme is an annex to the </w:t>
      </w:r>
      <w:r w:rsidR="00681200" w:rsidRPr="00235450">
        <w:t xml:space="preserve">Rules and </w:t>
      </w:r>
      <w:r w:rsidR="009719E0" w:rsidRPr="00235450">
        <w:t>Regulations.</w:t>
      </w:r>
      <w:r w:rsidR="00066C63" w:rsidRPr="00235450">
        <w:t xml:space="preserve"> </w:t>
      </w:r>
      <w:r w:rsidR="007B6F47" w:rsidRPr="00235450">
        <w:t xml:space="preserve">The diploma </w:t>
      </w:r>
      <w:r w:rsidR="005A082B" w:rsidRPr="00235450">
        <w:t xml:space="preserve">certificate </w:t>
      </w:r>
      <w:r w:rsidR="007B6F47" w:rsidRPr="00235450">
        <w:t xml:space="preserve">states that a </w:t>
      </w:r>
      <w:r w:rsidR="00CB1717" w:rsidRPr="00235450">
        <w:t>flexible</w:t>
      </w:r>
      <w:r w:rsidR="007B6F47" w:rsidRPr="00235450">
        <w:t xml:space="preserve"> master</w:t>
      </w:r>
      <w:r w:rsidR="007A5F32" w:rsidRPr="00235450">
        <w:t>’s</w:t>
      </w:r>
      <w:r w:rsidR="007B6F47" w:rsidRPr="00235450">
        <w:t xml:space="preserve"> programme was followed and gives the name of the programme </w:t>
      </w:r>
      <w:r w:rsidR="004C65D6" w:rsidRPr="00235450">
        <w:t>Water</w:t>
      </w:r>
      <w:r w:rsidR="00F311D0" w:rsidRPr="00235450">
        <w:t xml:space="preserve"> T</w:t>
      </w:r>
      <w:r w:rsidR="004C65D6" w:rsidRPr="00235450">
        <w:t>echnology.</w:t>
      </w:r>
      <w:r w:rsidR="009719E0" w:rsidRPr="00235450">
        <w:t xml:space="preserve"> </w:t>
      </w:r>
    </w:p>
    <w:p w14:paraId="55482EFB" w14:textId="77777777" w:rsidR="00F311D0" w:rsidRPr="00235450" w:rsidRDefault="00F311D0" w:rsidP="00236DFA">
      <w:pPr>
        <w:ind w:left="360"/>
        <w:contextualSpacing/>
        <w:rPr>
          <w:rFonts w:eastAsiaTheme="majorEastAsia" w:cstheme="majorBidi"/>
          <w:bCs/>
          <w:szCs w:val="17"/>
        </w:rPr>
      </w:pPr>
    </w:p>
    <w:p w14:paraId="4D3F2A66" w14:textId="77777777" w:rsidR="007B6F47" w:rsidRPr="00235450" w:rsidRDefault="00AF76E0" w:rsidP="00393702">
      <w:pPr>
        <w:pStyle w:val="Kop2"/>
      </w:pPr>
      <w:bookmarkStart w:id="14" w:name="_Toc54257548"/>
      <w:r w:rsidRPr="00235450">
        <w:t>Section</w:t>
      </w:r>
      <w:r w:rsidR="007B6F47" w:rsidRPr="00235450">
        <w:t xml:space="preserve"> 5</w:t>
      </w:r>
      <w:r w:rsidR="007B6F47" w:rsidRPr="00235450">
        <w:tab/>
        <w:t xml:space="preserve">Graduating </w:t>
      </w:r>
      <w:r w:rsidR="00922ACB" w:rsidRPr="00235450">
        <w:t xml:space="preserve">in </w:t>
      </w:r>
      <w:r w:rsidR="007B6F47" w:rsidRPr="00235450">
        <w:t xml:space="preserve">two or more </w:t>
      </w:r>
      <w:r w:rsidR="002239ED" w:rsidRPr="00235450">
        <w:t>programmes</w:t>
      </w:r>
      <w:r w:rsidR="00CE559B" w:rsidRPr="00235450">
        <w:t xml:space="preserve"> at master’s level</w:t>
      </w:r>
      <w:bookmarkEnd w:id="14"/>
    </w:p>
    <w:p w14:paraId="0B4A7562" w14:textId="77777777" w:rsidR="007B6F47" w:rsidRPr="00235450" w:rsidRDefault="007B6F47" w:rsidP="007B6F47">
      <w:pPr>
        <w:contextualSpacing/>
        <w:rPr>
          <w:rFonts w:eastAsiaTheme="majorEastAsia" w:cstheme="majorBidi"/>
          <w:bCs/>
          <w:szCs w:val="17"/>
        </w:rPr>
      </w:pPr>
    </w:p>
    <w:p w14:paraId="4285DA69" w14:textId="785E658C" w:rsidR="007B6F47" w:rsidRPr="00235450" w:rsidRDefault="002239ED" w:rsidP="00393702">
      <w:pPr>
        <w:pStyle w:val="Artikel"/>
        <w:rPr>
          <w:lang w:val="en-GB"/>
        </w:rPr>
      </w:pPr>
      <w:r w:rsidRPr="00235450">
        <w:rPr>
          <w:b/>
          <w:lang w:val="en-GB"/>
        </w:rPr>
        <w:t>Gener</w:t>
      </w:r>
      <w:r w:rsidR="00E05345" w:rsidRPr="00235450">
        <w:rPr>
          <w:b/>
          <w:lang w:val="en-GB"/>
        </w:rPr>
        <w:t xml:space="preserve">al requirements for graduating </w:t>
      </w:r>
      <w:r w:rsidR="00393702" w:rsidRPr="00235450">
        <w:rPr>
          <w:b/>
          <w:lang w:val="en-GB"/>
        </w:rPr>
        <w:t>in</w:t>
      </w:r>
      <w:r w:rsidR="005A082B" w:rsidRPr="00235450">
        <w:rPr>
          <w:b/>
          <w:lang w:val="en-GB"/>
        </w:rPr>
        <w:t xml:space="preserve"> </w:t>
      </w:r>
      <w:r w:rsidR="00583E39" w:rsidRPr="00235450">
        <w:rPr>
          <w:b/>
          <w:lang w:val="en-GB"/>
        </w:rPr>
        <w:t>two or more</w:t>
      </w:r>
      <w:r w:rsidRPr="00235450">
        <w:rPr>
          <w:b/>
          <w:lang w:val="en-GB"/>
        </w:rPr>
        <w:t xml:space="preserve"> programme</w:t>
      </w:r>
      <w:r w:rsidR="00583E39" w:rsidRPr="00235450">
        <w:rPr>
          <w:b/>
          <w:lang w:val="en-GB"/>
        </w:rPr>
        <w:t>s</w:t>
      </w:r>
    </w:p>
    <w:p w14:paraId="2418D59F" w14:textId="77777777" w:rsidR="002239ED" w:rsidRPr="00235450" w:rsidRDefault="00E05345" w:rsidP="007B6F47">
      <w:pPr>
        <w:contextualSpacing/>
        <w:rPr>
          <w:rFonts w:eastAsiaTheme="majorEastAsia" w:cstheme="majorBidi"/>
          <w:bCs/>
          <w:szCs w:val="17"/>
        </w:rPr>
      </w:pPr>
      <w:r w:rsidRPr="00235450">
        <w:rPr>
          <w:rFonts w:eastAsiaTheme="majorEastAsia" w:cstheme="majorBidi"/>
          <w:bCs/>
          <w:szCs w:val="17"/>
        </w:rPr>
        <w:t xml:space="preserve">Graduating </w:t>
      </w:r>
      <w:r w:rsidR="00393702" w:rsidRPr="00235450">
        <w:rPr>
          <w:rFonts w:eastAsiaTheme="majorEastAsia" w:cstheme="majorBidi"/>
          <w:bCs/>
          <w:szCs w:val="17"/>
        </w:rPr>
        <w:t>in</w:t>
      </w:r>
      <w:r w:rsidR="00583E39" w:rsidRPr="00235450">
        <w:rPr>
          <w:rFonts w:eastAsiaTheme="majorEastAsia" w:cstheme="majorBidi"/>
          <w:bCs/>
          <w:szCs w:val="17"/>
        </w:rPr>
        <w:t xml:space="preserve"> </w:t>
      </w:r>
      <w:r w:rsidR="002239ED" w:rsidRPr="00235450">
        <w:rPr>
          <w:rFonts w:eastAsiaTheme="majorEastAsia" w:cstheme="majorBidi"/>
          <w:bCs/>
          <w:szCs w:val="17"/>
        </w:rPr>
        <w:t xml:space="preserve">two or more programmes is possible </w:t>
      </w:r>
      <w:r w:rsidR="00583E39" w:rsidRPr="00235450">
        <w:rPr>
          <w:rFonts w:eastAsiaTheme="majorEastAsia" w:cstheme="majorBidi"/>
          <w:bCs/>
          <w:szCs w:val="17"/>
        </w:rPr>
        <w:t>when</w:t>
      </w:r>
      <w:r w:rsidR="002239ED" w:rsidRPr="00235450">
        <w:rPr>
          <w:rFonts w:eastAsiaTheme="majorEastAsia" w:cstheme="majorBidi"/>
          <w:bCs/>
          <w:szCs w:val="17"/>
        </w:rPr>
        <w:t xml:space="preserve"> the following conditions are fulfilled:</w:t>
      </w:r>
    </w:p>
    <w:p w14:paraId="67C808AE" w14:textId="66529574" w:rsidR="002239ED" w:rsidRPr="00235450" w:rsidRDefault="002239ED" w:rsidP="00F1333D">
      <w:pPr>
        <w:numPr>
          <w:ilvl w:val="0"/>
          <w:numId w:val="6"/>
        </w:numPr>
        <w:contextualSpacing/>
      </w:pPr>
      <w:r w:rsidRPr="00235450">
        <w:t xml:space="preserve">The student </w:t>
      </w:r>
      <w:r w:rsidR="00766F0C" w:rsidRPr="00235450">
        <w:t xml:space="preserve">must </w:t>
      </w:r>
      <w:r w:rsidR="005A082B" w:rsidRPr="00235450">
        <w:t xml:space="preserve">enrol in </w:t>
      </w:r>
      <w:r w:rsidRPr="00235450">
        <w:t xml:space="preserve">all </w:t>
      </w:r>
      <w:r w:rsidR="007A5F32" w:rsidRPr="00235450">
        <w:t xml:space="preserve">programmes </w:t>
      </w:r>
      <w:r w:rsidRPr="00235450">
        <w:t xml:space="preserve">in which </w:t>
      </w:r>
      <w:r w:rsidR="003F6444" w:rsidRPr="00235450">
        <w:t>examinations</w:t>
      </w:r>
      <w:r w:rsidRPr="00235450">
        <w:t xml:space="preserve"> are taken;</w:t>
      </w:r>
    </w:p>
    <w:p w14:paraId="0001E5D7" w14:textId="77777777" w:rsidR="002239ED" w:rsidRPr="00235450" w:rsidRDefault="005A082B" w:rsidP="00F1333D">
      <w:pPr>
        <w:numPr>
          <w:ilvl w:val="0"/>
          <w:numId w:val="6"/>
        </w:numPr>
        <w:contextualSpacing/>
      </w:pPr>
      <w:r w:rsidRPr="00235450">
        <w:t xml:space="preserve">These must be </w:t>
      </w:r>
      <w:r w:rsidR="002239ED" w:rsidRPr="00235450">
        <w:t xml:space="preserve">different </w:t>
      </w:r>
      <w:r w:rsidR="007A5F32" w:rsidRPr="00235450">
        <w:t xml:space="preserve">programmes </w:t>
      </w:r>
      <w:r w:rsidR="002239ED" w:rsidRPr="00235450">
        <w:t>with their own CROHO</w:t>
      </w:r>
      <w:r w:rsidRPr="00235450">
        <w:t xml:space="preserve"> </w:t>
      </w:r>
      <w:r w:rsidR="002239ED" w:rsidRPr="00235450">
        <w:t>code;</w:t>
      </w:r>
    </w:p>
    <w:p w14:paraId="63DB086C" w14:textId="59C2F0BE" w:rsidR="005B22A4" w:rsidRPr="00235450" w:rsidRDefault="005B22A4" w:rsidP="003434E4">
      <w:pPr>
        <w:contextualSpacing/>
      </w:pPr>
      <w:r w:rsidRPr="00235450">
        <w:t xml:space="preserve">When </w:t>
      </w:r>
      <w:r w:rsidR="00766F0C" w:rsidRPr="00235450">
        <w:t>considering approval of</w:t>
      </w:r>
      <w:r w:rsidRPr="00235450">
        <w:t xml:space="preserve"> the individual examination programmes, the Examining Board checks whether these</w:t>
      </w:r>
      <w:r w:rsidR="00BC7AC8" w:rsidRPr="00235450">
        <w:t xml:space="preserve"> and the</w:t>
      </w:r>
      <w:r w:rsidR="004C65D6" w:rsidRPr="00235450">
        <w:t xml:space="preserve"> requirements set in </w:t>
      </w:r>
      <w:r w:rsidR="00766F0C" w:rsidRPr="00235450">
        <w:t>this section</w:t>
      </w:r>
      <w:r w:rsidR="004C65D6" w:rsidRPr="00235450">
        <w:t xml:space="preserve"> </w:t>
      </w:r>
      <w:r w:rsidRPr="00235450">
        <w:t>have been met.</w:t>
      </w:r>
    </w:p>
    <w:p w14:paraId="64DF1497" w14:textId="77777777" w:rsidR="002239ED" w:rsidRPr="00235450" w:rsidRDefault="002239ED" w:rsidP="002239ED">
      <w:pPr>
        <w:contextualSpacing/>
      </w:pPr>
    </w:p>
    <w:p w14:paraId="5D25C822" w14:textId="77777777" w:rsidR="00E05345" w:rsidRPr="00235450" w:rsidRDefault="00FF5D96" w:rsidP="00393702">
      <w:pPr>
        <w:pStyle w:val="Artikel"/>
        <w:rPr>
          <w:b/>
          <w:lang w:val="en-GB"/>
        </w:rPr>
      </w:pPr>
      <w:r w:rsidRPr="00235450">
        <w:rPr>
          <w:b/>
          <w:lang w:val="en-GB"/>
        </w:rPr>
        <w:t xml:space="preserve">Requirements for graduating </w:t>
      </w:r>
      <w:r w:rsidR="00CB1717" w:rsidRPr="00235450">
        <w:rPr>
          <w:b/>
          <w:lang w:val="en-GB"/>
        </w:rPr>
        <w:t>in</w:t>
      </w:r>
      <w:r w:rsidR="000A1F66" w:rsidRPr="00235450">
        <w:rPr>
          <w:b/>
          <w:lang w:val="en-GB"/>
        </w:rPr>
        <w:t xml:space="preserve"> </w:t>
      </w:r>
      <w:r w:rsidRPr="00235450">
        <w:rPr>
          <w:b/>
          <w:lang w:val="en-GB"/>
        </w:rPr>
        <w:t>more than one master</w:t>
      </w:r>
      <w:r w:rsidR="00CB1717" w:rsidRPr="00235450">
        <w:rPr>
          <w:b/>
          <w:lang w:val="en-GB"/>
        </w:rPr>
        <w:t>’s</w:t>
      </w:r>
      <w:r w:rsidRPr="00235450">
        <w:rPr>
          <w:b/>
          <w:lang w:val="en-GB"/>
        </w:rPr>
        <w:t xml:space="preserve"> programme</w:t>
      </w:r>
    </w:p>
    <w:p w14:paraId="0D7BB40B" w14:textId="6E805522" w:rsidR="003434E4" w:rsidRPr="00235450" w:rsidRDefault="003434E4" w:rsidP="003434E4">
      <w:r w:rsidRPr="00235450">
        <w:t xml:space="preserve">Notwithstanding the general requirements set out in Article </w:t>
      </w:r>
      <w:r w:rsidR="008C7B21" w:rsidRPr="00235450">
        <w:t>1</w:t>
      </w:r>
      <w:r w:rsidR="001C72DA" w:rsidRPr="00235450">
        <w:t>2</w:t>
      </w:r>
      <w:r w:rsidRPr="00235450">
        <w:t>, the following requirements apply for graduating in more than one master’s programme:</w:t>
      </w:r>
    </w:p>
    <w:p w14:paraId="5DB6CEDB" w14:textId="086E6FEB" w:rsidR="00FF5D96" w:rsidRPr="00235450" w:rsidRDefault="00FF5D96" w:rsidP="00F1333D">
      <w:pPr>
        <w:numPr>
          <w:ilvl w:val="0"/>
          <w:numId w:val="7"/>
        </w:numPr>
        <w:contextualSpacing/>
      </w:pPr>
      <w:r w:rsidRPr="00235450">
        <w:t xml:space="preserve">The individual examination programme of  </w:t>
      </w:r>
      <w:r w:rsidR="004950AF" w:rsidRPr="00235450">
        <w:t xml:space="preserve">the MWT </w:t>
      </w:r>
      <w:r w:rsidRPr="00235450">
        <w:t>programme s</w:t>
      </w:r>
      <w:r w:rsidR="00B76572" w:rsidRPr="00235450">
        <w:t xml:space="preserve">hould be unique </w:t>
      </w:r>
      <w:r w:rsidR="00393702" w:rsidRPr="00235450">
        <w:t xml:space="preserve">up to at </w:t>
      </w:r>
      <w:r w:rsidRPr="00235450">
        <w:t>least 60 credits. If one of the master</w:t>
      </w:r>
      <w:r w:rsidR="00393702" w:rsidRPr="00235450">
        <w:t>’s</w:t>
      </w:r>
      <w:r w:rsidRPr="00235450">
        <w:t xml:space="preserve"> programmes is an external one-year </w:t>
      </w:r>
      <w:r w:rsidR="000A1F66" w:rsidRPr="00235450">
        <w:t xml:space="preserve">master’s </w:t>
      </w:r>
      <w:r w:rsidR="00170AC1" w:rsidRPr="00235450">
        <w:t>programme</w:t>
      </w:r>
      <w:r w:rsidRPr="00235450">
        <w:t xml:space="preserve">, </w:t>
      </w:r>
      <w:r w:rsidRPr="00235450">
        <w:lastRenderedPageBreak/>
        <w:t xml:space="preserve">then the overlap with the </w:t>
      </w:r>
      <w:r w:rsidR="004950AF" w:rsidRPr="00235450">
        <w:t>MWT</w:t>
      </w:r>
      <w:r w:rsidRPr="00235450">
        <w:t xml:space="preserve"> programme</w:t>
      </w:r>
      <w:r w:rsidR="004950AF" w:rsidRPr="00235450">
        <w:t xml:space="preserve"> </w:t>
      </w:r>
      <w:r w:rsidR="00CE559B" w:rsidRPr="00235450">
        <w:t>shall not</w:t>
      </w:r>
      <w:r w:rsidRPr="00235450">
        <w:t xml:space="preserve"> account for more than 30 credits. The thesis must be completed for </w:t>
      </w:r>
      <w:r w:rsidR="004950AF" w:rsidRPr="00235450">
        <w:t>the MWT</w:t>
      </w:r>
      <w:r w:rsidRPr="00235450">
        <w:t xml:space="preserve"> programme. </w:t>
      </w:r>
    </w:p>
    <w:p w14:paraId="492A7EA0" w14:textId="1448518E" w:rsidR="00FF5D96" w:rsidRPr="00235450" w:rsidRDefault="00FF5D96" w:rsidP="00F1333D">
      <w:pPr>
        <w:numPr>
          <w:ilvl w:val="0"/>
          <w:numId w:val="7"/>
        </w:numPr>
        <w:contextualSpacing/>
      </w:pPr>
      <w:r w:rsidRPr="00235450">
        <w:t xml:space="preserve">The </w:t>
      </w:r>
      <w:r w:rsidR="00213FA2" w:rsidRPr="00235450">
        <w:t>Examining Board</w:t>
      </w:r>
      <w:r w:rsidRPr="00235450">
        <w:t xml:space="preserve"> decide</w:t>
      </w:r>
      <w:r w:rsidR="004950AF" w:rsidRPr="00235450">
        <w:t>s</w:t>
      </w:r>
      <w:r w:rsidRPr="00235450">
        <w:t xml:space="preserve"> </w:t>
      </w:r>
      <w:r w:rsidR="00B1038A" w:rsidRPr="00235450">
        <w:t xml:space="preserve">whether </w:t>
      </w:r>
      <w:r w:rsidRPr="00235450">
        <w:t xml:space="preserve">it is compulsory for the student to follow an academic internship for </w:t>
      </w:r>
      <w:r w:rsidR="004950AF" w:rsidRPr="00235450">
        <w:t xml:space="preserve">the MWT </w:t>
      </w:r>
      <w:r w:rsidRPr="00235450">
        <w:t>programme</w:t>
      </w:r>
      <w:r w:rsidR="009C65B8" w:rsidRPr="00235450">
        <w:t xml:space="preserve">. </w:t>
      </w:r>
    </w:p>
    <w:p w14:paraId="7E489C82" w14:textId="77777777" w:rsidR="00E87D95" w:rsidRPr="00235450" w:rsidRDefault="00E87D95" w:rsidP="00A76CEF">
      <w:bookmarkStart w:id="15" w:name="_Toc385260776"/>
    </w:p>
    <w:p w14:paraId="42A92601" w14:textId="095832AC" w:rsidR="00D9642E" w:rsidRPr="00235450" w:rsidRDefault="00B1038A" w:rsidP="00F1333D">
      <w:pPr>
        <w:pStyle w:val="Kop1"/>
        <w:numPr>
          <w:ilvl w:val="0"/>
          <w:numId w:val="30"/>
        </w:numPr>
      </w:pPr>
      <w:bookmarkStart w:id="16" w:name="_Toc54257549"/>
      <w:r w:rsidRPr="00235450">
        <w:t>Courses</w:t>
      </w:r>
      <w:r w:rsidR="00554707" w:rsidRPr="00235450">
        <w:t xml:space="preserve"> (</w:t>
      </w:r>
      <w:r w:rsidR="00836DA7" w:rsidRPr="00235450">
        <w:t>study</w:t>
      </w:r>
      <w:r w:rsidR="00D9642E" w:rsidRPr="00235450">
        <w:t xml:space="preserve"> units</w:t>
      </w:r>
      <w:bookmarkEnd w:id="15"/>
      <w:r w:rsidR="00554707" w:rsidRPr="00235450">
        <w:t>)</w:t>
      </w:r>
      <w:bookmarkEnd w:id="16"/>
    </w:p>
    <w:p w14:paraId="6E23DB16" w14:textId="77777777" w:rsidR="00D9642E" w:rsidRPr="00235450" w:rsidRDefault="00D9642E" w:rsidP="00E87D95">
      <w:pPr>
        <w:pStyle w:val="Artikel"/>
        <w:rPr>
          <w:b/>
          <w:lang w:val="en-GB"/>
        </w:rPr>
      </w:pPr>
      <w:r w:rsidRPr="00235450">
        <w:rPr>
          <w:b/>
          <w:lang w:val="en-GB"/>
        </w:rPr>
        <w:t xml:space="preserve">Types of </w:t>
      </w:r>
      <w:r w:rsidR="00B1038A" w:rsidRPr="00235450">
        <w:rPr>
          <w:b/>
          <w:lang w:val="en-GB"/>
        </w:rPr>
        <w:t xml:space="preserve">courses </w:t>
      </w:r>
      <w:r w:rsidRPr="00235450">
        <w:rPr>
          <w:b/>
          <w:lang w:val="en-GB"/>
        </w:rPr>
        <w:t>(</w:t>
      </w:r>
      <w:r w:rsidR="00836DA7" w:rsidRPr="00235450">
        <w:rPr>
          <w:b/>
          <w:lang w:val="en-GB"/>
        </w:rPr>
        <w:t>study</w:t>
      </w:r>
      <w:r w:rsidRPr="00235450">
        <w:rPr>
          <w:b/>
          <w:lang w:val="en-GB"/>
        </w:rPr>
        <w:t xml:space="preserve"> units)</w:t>
      </w:r>
    </w:p>
    <w:p w14:paraId="7098DC51" w14:textId="77777777" w:rsidR="00D9642E" w:rsidRPr="00235450" w:rsidRDefault="00FF2461" w:rsidP="00D9642E">
      <w:r w:rsidRPr="00235450">
        <w:t xml:space="preserve">Wageningen University provides various types of courses or study units. </w:t>
      </w:r>
      <w:r w:rsidR="00A7140C" w:rsidRPr="00235450">
        <w:t xml:space="preserve">For some of these </w:t>
      </w:r>
      <w:r w:rsidR="00B1038A" w:rsidRPr="00235450">
        <w:t xml:space="preserve">courses </w:t>
      </w:r>
      <w:r w:rsidR="00A7140C" w:rsidRPr="00235450">
        <w:t>specific rules appl</w:t>
      </w:r>
      <w:r w:rsidR="00B1038A" w:rsidRPr="00235450">
        <w:t>y</w:t>
      </w:r>
      <w:r w:rsidR="0099718B" w:rsidRPr="00235450">
        <w:t xml:space="preserve"> that may differ from the rules for the regular courses</w:t>
      </w:r>
      <w:r w:rsidR="00A7140C" w:rsidRPr="00235450">
        <w:t>. The most important types</w:t>
      </w:r>
      <w:r w:rsidR="00B1038A" w:rsidRPr="00235450">
        <w:t xml:space="preserve"> of </w:t>
      </w:r>
      <w:r w:rsidR="0099718B" w:rsidRPr="00235450">
        <w:t xml:space="preserve">these </w:t>
      </w:r>
      <w:r w:rsidR="00B1038A" w:rsidRPr="00235450">
        <w:t>courses/education units are</w:t>
      </w:r>
      <w:r w:rsidR="00A7140C" w:rsidRPr="00235450">
        <w:t>:</w:t>
      </w:r>
      <w:r w:rsidR="00D9642E" w:rsidRPr="00235450">
        <w:t xml:space="preserve"> </w:t>
      </w:r>
    </w:p>
    <w:p w14:paraId="3348FCE6" w14:textId="77777777" w:rsidR="002239ED" w:rsidRPr="00235450" w:rsidRDefault="00A7140C" w:rsidP="00F1333D">
      <w:pPr>
        <w:numPr>
          <w:ilvl w:val="0"/>
          <w:numId w:val="8"/>
        </w:numPr>
        <w:contextualSpacing/>
      </w:pPr>
      <w:r w:rsidRPr="00235450">
        <w:rPr>
          <w:i/>
        </w:rPr>
        <w:t>Academic internship:</w:t>
      </w:r>
      <w:r w:rsidRPr="00235450">
        <w:t xml:space="preserve"> a period </w:t>
      </w:r>
      <w:r w:rsidR="00554707" w:rsidRPr="00235450">
        <w:t>dur</w:t>
      </w:r>
      <w:r w:rsidRPr="00235450">
        <w:t>in</w:t>
      </w:r>
      <w:r w:rsidR="00554707" w:rsidRPr="00235450">
        <w:t>g</w:t>
      </w:r>
      <w:r w:rsidRPr="00235450">
        <w:t xml:space="preserve"> which the student, </w:t>
      </w:r>
      <w:r w:rsidR="00554707" w:rsidRPr="00235450">
        <w:t>in</w:t>
      </w:r>
      <w:r w:rsidR="00B1038A" w:rsidRPr="00235450">
        <w:t xml:space="preserve"> </w:t>
      </w:r>
      <w:r w:rsidRPr="00235450">
        <w:t xml:space="preserve">an internship institute outside the University, gains experience in an environment and through activities which are comparable to </w:t>
      </w:r>
      <w:r w:rsidR="00B76572" w:rsidRPr="00235450">
        <w:t>an</w:t>
      </w:r>
      <w:r w:rsidRPr="00235450">
        <w:t xml:space="preserve"> academic </w:t>
      </w:r>
      <w:r w:rsidR="00B76572" w:rsidRPr="00235450">
        <w:t>starter’s</w:t>
      </w:r>
      <w:r w:rsidRPr="00235450">
        <w:t xml:space="preserve"> position. </w:t>
      </w:r>
      <w:r w:rsidR="00367367" w:rsidRPr="00235450">
        <w:t>During the internship the student</w:t>
      </w:r>
      <w:r w:rsidR="00806A53" w:rsidRPr="00235450">
        <w:t xml:space="preserve"> </w:t>
      </w:r>
      <w:r w:rsidRPr="00235450">
        <w:t>carries out an assignment</w:t>
      </w:r>
      <w:r w:rsidR="00367367" w:rsidRPr="00235450">
        <w:t>,</w:t>
      </w:r>
      <w:r w:rsidRPr="00235450">
        <w:t xml:space="preserve"> </w:t>
      </w:r>
      <w:r w:rsidR="00B1038A" w:rsidRPr="00235450">
        <w:t xml:space="preserve">writes </w:t>
      </w:r>
      <w:r w:rsidRPr="00235450">
        <w:t>a report</w:t>
      </w:r>
      <w:r w:rsidR="00367367" w:rsidRPr="00235450">
        <w:t xml:space="preserve"> and gives a presentation</w:t>
      </w:r>
      <w:r w:rsidRPr="00235450">
        <w:t>.</w:t>
      </w:r>
    </w:p>
    <w:p w14:paraId="281A267E" w14:textId="77777777" w:rsidR="00626ACD" w:rsidRPr="00235450" w:rsidRDefault="00626ACD" w:rsidP="00F1333D">
      <w:pPr>
        <w:numPr>
          <w:ilvl w:val="0"/>
          <w:numId w:val="8"/>
        </w:numPr>
        <w:contextualSpacing/>
      </w:pPr>
      <w:r w:rsidRPr="00235450">
        <w:rPr>
          <w:i/>
        </w:rPr>
        <w:t>MSc thesis:</w:t>
      </w:r>
      <w:r w:rsidR="00291674" w:rsidRPr="00235450">
        <w:rPr>
          <w:i/>
        </w:rPr>
        <w:t xml:space="preserve"> </w:t>
      </w:r>
      <w:r w:rsidR="00291674" w:rsidRPr="00235450">
        <w:t xml:space="preserve">proof of </w:t>
      </w:r>
      <w:r w:rsidR="00B76572" w:rsidRPr="00235450">
        <w:t>competence</w:t>
      </w:r>
      <w:r w:rsidR="00291674" w:rsidRPr="00235450">
        <w:t xml:space="preserve"> in completion of the master</w:t>
      </w:r>
      <w:r w:rsidR="00E87D95" w:rsidRPr="00235450">
        <w:t>’s</w:t>
      </w:r>
      <w:r w:rsidR="00291674" w:rsidRPr="00235450">
        <w:t xml:space="preserve"> programme.</w:t>
      </w:r>
    </w:p>
    <w:p w14:paraId="0E4368F2" w14:textId="2614A810" w:rsidR="00733214" w:rsidRPr="00235450" w:rsidRDefault="00733214" w:rsidP="00F1333D">
      <w:pPr>
        <w:pStyle w:val="Lijstalinea"/>
        <w:numPr>
          <w:ilvl w:val="0"/>
          <w:numId w:val="8"/>
        </w:numPr>
      </w:pPr>
      <w:r w:rsidRPr="00235450">
        <w:rPr>
          <w:i/>
        </w:rPr>
        <w:t xml:space="preserve">Capita </w:t>
      </w:r>
      <w:r w:rsidR="00066C63" w:rsidRPr="00235450">
        <w:rPr>
          <w:i/>
        </w:rPr>
        <w:t>Selecta</w:t>
      </w:r>
      <w:r w:rsidRPr="00235450">
        <w:rPr>
          <w:i/>
        </w:rPr>
        <w:t>:</w:t>
      </w:r>
      <w:r w:rsidRPr="00235450">
        <w:t xml:space="preserve"> optional courses which </w:t>
      </w:r>
      <w:r w:rsidR="00BC7AC8" w:rsidRPr="00235450">
        <w:t>can</w:t>
      </w:r>
      <w:r w:rsidRPr="00235450">
        <w:t>not</w:t>
      </w:r>
      <w:r w:rsidR="00BC7AC8" w:rsidRPr="00235450">
        <w:t xml:space="preserve"> be</w:t>
      </w:r>
      <w:r w:rsidRPr="00235450">
        <w:t xml:space="preserve"> part of the compulsory component of the University’s programme </w:t>
      </w:r>
      <w:r w:rsidR="00BC7AC8" w:rsidRPr="00235450">
        <w:t>and</w:t>
      </w:r>
      <w:r w:rsidRPr="00235450">
        <w:t xml:space="preserve"> which can </w:t>
      </w:r>
      <w:r w:rsidR="00BC7AC8" w:rsidRPr="00235450">
        <w:t xml:space="preserve">only </w:t>
      </w:r>
      <w:r w:rsidRPr="00235450">
        <w:t xml:space="preserve">be selected in the </w:t>
      </w:r>
      <w:r w:rsidR="00713FEF">
        <w:t>electives</w:t>
      </w:r>
      <w:r w:rsidRPr="00235450">
        <w:t>.</w:t>
      </w:r>
    </w:p>
    <w:p w14:paraId="0B6FFB44" w14:textId="77777777" w:rsidR="00733214" w:rsidRPr="00235450" w:rsidRDefault="00733214" w:rsidP="00F455D8">
      <w:pPr>
        <w:ind w:left="720"/>
        <w:contextualSpacing/>
      </w:pPr>
    </w:p>
    <w:p w14:paraId="620705FD" w14:textId="77777777" w:rsidR="0031420D" w:rsidRPr="00235450" w:rsidRDefault="0031420D" w:rsidP="008A7EB1">
      <w:pPr>
        <w:pStyle w:val="Artikel"/>
        <w:rPr>
          <w:b/>
          <w:lang w:val="en-GB"/>
        </w:rPr>
      </w:pPr>
      <w:r w:rsidRPr="00235450">
        <w:rPr>
          <w:b/>
          <w:lang w:val="en-GB"/>
        </w:rPr>
        <w:t xml:space="preserve">Description of </w:t>
      </w:r>
      <w:r w:rsidR="0049697A" w:rsidRPr="00235450">
        <w:rPr>
          <w:b/>
          <w:lang w:val="en-GB"/>
        </w:rPr>
        <w:t xml:space="preserve">courses </w:t>
      </w:r>
      <w:r w:rsidRPr="00235450">
        <w:rPr>
          <w:b/>
          <w:lang w:val="en-GB"/>
        </w:rPr>
        <w:t>in the Study Handbook</w:t>
      </w:r>
    </w:p>
    <w:p w14:paraId="427DB425" w14:textId="77777777" w:rsidR="0031420D" w:rsidRPr="00235450" w:rsidRDefault="0049697A" w:rsidP="0031420D">
      <w:r w:rsidRPr="00235450">
        <w:t>For all courses, t</w:t>
      </w:r>
      <w:r w:rsidR="0031420D" w:rsidRPr="00235450">
        <w:t xml:space="preserve">he Study Handbook provides a description of at least the following: </w:t>
      </w:r>
    </w:p>
    <w:p w14:paraId="6B74C53B" w14:textId="77777777" w:rsidR="00EF290D" w:rsidRPr="00235450" w:rsidRDefault="0031420D" w:rsidP="00F1333D">
      <w:pPr>
        <w:pStyle w:val="Lijstalinea"/>
        <w:numPr>
          <w:ilvl w:val="0"/>
          <w:numId w:val="24"/>
        </w:numPr>
      </w:pPr>
      <w:r w:rsidRPr="00235450">
        <w:t xml:space="preserve">the language </w:t>
      </w:r>
      <w:r w:rsidR="0049697A" w:rsidRPr="00235450">
        <w:t>of instruction</w:t>
      </w:r>
      <w:r w:rsidR="0049697A" w:rsidRPr="00235450" w:rsidDel="0049697A">
        <w:t xml:space="preserve"> </w:t>
      </w:r>
    </w:p>
    <w:p w14:paraId="79BF67CF" w14:textId="77777777" w:rsidR="0031420D" w:rsidRPr="00235450" w:rsidRDefault="0049697A" w:rsidP="00F1333D">
      <w:pPr>
        <w:pStyle w:val="Lijstalinea"/>
        <w:numPr>
          <w:ilvl w:val="0"/>
          <w:numId w:val="24"/>
        </w:numPr>
      </w:pPr>
      <w:r w:rsidRPr="00235450">
        <w:t>t</w:t>
      </w:r>
      <w:r w:rsidR="0031420D" w:rsidRPr="00235450">
        <w:t xml:space="preserve">he </w:t>
      </w:r>
      <w:r w:rsidR="00EF290D" w:rsidRPr="00235450">
        <w:t>conten</w:t>
      </w:r>
      <w:r w:rsidR="0031420D" w:rsidRPr="00235450">
        <w:t xml:space="preserve">t of the </w:t>
      </w:r>
      <w:r w:rsidR="00557317" w:rsidRPr="00235450">
        <w:t>course</w:t>
      </w:r>
    </w:p>
    <w:p w14:paraId="3EFE684F" w14:textId="77777777" w:rsidR="0031420D" w:rsidRPr="00235450" w:rsidRDefault="0049697A" w:rsidP="00F1333D">
      <w:pPr>
        <w:numPr>
          <w:ilvl w:val="0"/>
          <w:numId w:val="24"/>
        </w:numPr>
        <w:contextualSpacing/>
      </w:pPr>
      <w:r w:rsidRPr="00235450">
        <w:t>t</w:t>
      </w:r>
      <w:r w:rsidR="0031420D" w:rsidRPr="00235450">
        <w:t xml:space="preserve">he number of credits </w:t>
      </w:r>
    </w:p>
    <w:p w14:paraId="40F47F22" w14:textId="77777777" w:rsidR="0031420D" w:rsidRPr="00235450" w:rsidRDefault="0049697A" w:rsidP="00F1333D">
      <w:pPr>
        <w:numPr>
          <w:ilvl w:val="0"/>
          <w:numId w:val="24"/>
        </w:numPr>
        <w:contextualSpacing/>
      </w:pPr>
      <w:r w:rsidRPr="00235450">
        <w:t>t</w:t>
      </w:r>
      <w:r w:rsidR="0031420D" w:rsidRPr="00235450">
        <w:t>he learning outcomes</w:t>
      </w:r>
    </w:p>
    <w:p w14:paraId="7EBE0C6C" w14:textId="77777777" w:rsidR="0031420D" w:rsidRPr="00235450" w:rsidRDefault="0049697A" w:rsidP="00F1333D">
      <w:pPr>
        <w:numPr>
          <w:ilvl w:val="0"/>
          <w:numId w:val="24"/>
        </w:numPr>
        <w:contextualSpacing/>
      </w:pPr>
      <w:r w:rsidRPr="00235450">
        <w:t>t</w:t>
      </w:r>
      <w:r w:rsidR="0031420D" w:rsidRPr="00235450">
        <w:t xml:space="preserve">he </w:t>
      </w:r>
      <w:r w:rsidRPr="00235450">
        <w:t xml:space="preserve">interim </w:t>
      </w:r>
      <w:r w:rsidR="0031420D" w:rsidRPr="00235450">
        <w:t>examination method</w:t>
      </w:r>
    </w:p>
    <w:p w14:paraId="5BEF799A" w14:textId="77777777" w:rsidR="0031420D" w:rsidRPr="00235450" w:rsidRDefault="0049697A" w:rsidP="00F1333D">
      <w:pPr>
        <w:numPr>
          <w:ilvl w:val="0"/>
          <w:numId w:val="24"/>
        </w:numPr>
        <w:contextualSpacing/>
      </w:pPr>
      <w:r w:rsidRPr="00235450">
        <w:t>t</w:t>
      </w:r>
      <w:r w:rsidR="0031420D" w:rsidRPr="00235450">
        <w:t xml:space="preserve">he </w:t>
      </w:r>
      <w:r w:rsidR="00EF290D" w:rsidRPr="00235450">
        <w:t>examine</w:t>
      </w:r>
      <w:r w:rsidR="0031420D" w:rsidRPr="00235450">
        <w:t>r</w:t>
      </w:r>
      <w:r w:rsidR="00237E9B" w:rsidRPr="00235450">
        <w:t>, the lecturers</w:t>
      </w:r>
      <w:r w:rsidR="0031420D" w:rsidRPr="00235450">
        <w:t xml:space="preserve"> and the </w:t>
      </w:r>
      <w:r w:rsidR="00066C63" w:rsidRPr="00235450">
        <w:t>coordinator</w:t>
      </w:r>
    </w:p>
    <w:p w14:paraId="0D18F838" w14:textId="0A54DF91" w:rsidR="0031420D" w:rsidRDefault="0049697A" w:rsidP="00F1333D">
      <w:pPr>
        <w:numPr>
          <w:ilvl w:val="0"/>
          <w:numId w:val="24"/>
        </w:numPr>
        <w:contextualSpacing/>
      </w:pPr>
      <w:r w:rsidRPr="00235450">
        <w:t>t</w:t>
      </w:r>
      <w:r w:rsidR="0031420D" w:rsidRPr="00235450">
        <w:t xml:space="preserve">he </w:t>
      </w:r>
      <w:r w:rsidRPr="00235450">
        <w:t xml:space="preserve">teaching methods </w:t>
      </w:r>
    </w:p>
    <w:p w14:paraId="75118142" w14:textId="1E31D5DB" w:rsidR="004815BE" w:rsidRPr="00235450" w:rsidRDefault="004815BE" w:rsidP="00F1333D">
      <w:pPr>
        <w:numPr>
          <w:ilvl w:val="0"/>
          <w:numId w:val="24"/>
        </w:numPr>
        <w:contextualSpacing/>
      </w:pPr>
      <w:r>
        <w:t xml:space="preserve">the location </w:t>
      </w:r>
      <w:r w:rsidR="001574DB">
        <w:t xml:space="preserve">(city) </w:t>
      </w:r>
      <w:r>
        <w:t>where the education is provided</w:t>
      </w:r>
    </w:p>
    <w:p w14:paraId="11F725B5" w14:textId="77777777" w:rsidR="00237E9B" w:rsidRPr="00235450" w:rsidRDefault="00237E9B" w:rsidP="00F1333D">
      <w:pPr>
        <w:pStyle w:val="Lijstalinea"/>
        <w:numPr>
          <w:ilvl w:val="0"/>
          <w:numId w:val="24"/>
        </w:numPr>
      </w:pPr>
      <w:r w:rsidRPr="00235450">
        <w:t xml:space="preserve">whether any prior knowledge is mandatory </w:t>
      </w:r>
      <w:r w:rsidR="00935281" w:rsidRPr="00235450">
        <w:t xml:space="preserve">and whether any prior knowledge is </w:t>
      </w:r>
      <w:r w:rsidRPr="00235450">
        <w:t>assumed.</w:t>
      </w:r>
    </w:p>
    <w:p w14:paraId="516E4E6B" w14:textId="0B094E9E" w:rsidR="0031420D" w:rsidRPr="00235450" w:rsidRDefault="00BC7AC8" w:rsidP="00F1333D">
      <w:pPr>
        <w:numPr>
          <w:ilvl w:val="0"/>
          <w:numId w:val="24"/>
        </w:numPr>
        <w:contextualSpacing/>
      </w:pPr>
      <w:r w:rsidRPr="00235450">
        <w:t>w</w:t>
      </w:r>
      <w:r w:rsidR="00237E9B" w:rsidRPr="00235450">
        <w:t xml:space="preserve">hether there are </w:t>
      </w:r>
      <w:r w:rsidR="0031420D" w:rsidRPr="00235450">
        <w:t xml:space="preserve">any obligations or requirements </w:t>
      </w:r>
      <w:r w:rsidR="00170AC1" w:rsidRPr="00235450">
        <w:t xml:space="preserve">with regard to </w:t>
      </w:r>
      <w:r w:rsidR="0031420D" w:rsidRPr="00235450">
        <w:t>study progress before a student ma</w:t>
      </w:r>
      <w:r w:rsidR="00170AC1" w:rsidRPr="00235450">
        <w:t xml:space="preserve">y </w:t>
      </w:r>
      <w:r w:rsidR="0049697A" w:rsidRPr="00235450">
        <w:t xml:space="preserve">register for </w:t>
      </w:r>
      <w:r w:rsidR="00170AC1" w:rsidRPr="00235450">
        <w:t xml:space="preserve">the </w:t>
      </w:r>
      <w:r w:rsidR="0049697A" w:rsidRPr="00235450">
        <w:t xml:space="preserve">course </w:t>
      </w:r>
      <w:r w:rsidR="00D15515" w:rsidRPr="00235450">
        <w:t>and</w:t>
      </w:r>
      <w:r w:rsidR="0031420D" w:rsidRPr="00235450">
        <w:t xml:space="preserve"> take the </w:t>
      </w:r>
      <w:r w:rsidR="00554707" w:rsidRPr="00235450">
        <w:t xml:space="preserve">interim </w:t>
      </w:r>
      <w:r w:rsidR="0031420D" w:rsidRPr="00235450">
        <w:t>exam</w:t>
      </w:r>
      <w:r w:rsidR="00554707" w:rsidRPr="00235450">
        <w:t>ination</w:t>
      </w:r>
      <w:r w:rsidR="0031420D" w:rsidRPr="00235450">
        <w:t>.</w:t>
      </w:r>
    </w:p>
    <w:p w14:paraId="0FC34B85" w14:textId="77777777" w:rsidR="00EF290D" w:rsidRPr="00235450" w:rsidRDefault="0049697A" w:rsidP="00F1333D">
      <w:pPr>
        <w:numPr>
          <w:ilvl w:val="0"/>
          <w:numId w:val="24"/>
        </w:numPr>
        <w:contextualSpacing/>
      </w:pPr>
      <w:r w:rsidRPr="00235450">
        <w:t>whether</w:t>
      </w:r>
      <w:r w:rsidR="00EF290D" w:rsidRPr="00235450">
        <w:t xml:space="preserve"> </w:t>
      </w:r>
      <w:r w:rsidRPr="00235450">
        <w:t xml:space="preserve">the course has a </w:t>
      </w:r>
      <w:r w:rsidR="00EF290D" w:rsidRPr="00235450">
        <w:t xml:space="preserve">maximum </w:t>
      </w:r>
      <w:r w:rsidR="00B76572" w:rsidRPr="00235450">
        <w:t xml:space="preserve">number of </w:t>
      </w:r>
      <w:r w:rsidRPr="00235450">
        <w:t>registrations</w:t>
      </w:r>
      <w:r w:rsidR="00EF290D" w:rsidRPr="00235450">
        <w:t>.</w:t>
      </w:r>
    </w:p>
    <w:p w14:paraId="5234EF54" w14:textId="5A39693A" w:rsidR="00BC7AC8" w:rsidRPr="00235450" w:rsidRDefault="00BC7AC8" w:rsidP="00F1333D">
      <w:pPr>
        <w:numPr>
          <w:ilvl w:val="0"/>
          <w:numId w:val="24"/>
        </w:numPr>
        <w:contextualSpacing/>
      </w:pPr>
      <w:r w:rsidRPr="00235450">
        <w:t>whether the course is offered as an online course.</w:t>
      </w:r>
    </w:p>
    <w:p w14:paraId="53CE4454" w14:textId="77777777" w:rsidR="00BC7AC8" w:rsidRPr="00235450" w:rsidRDefault="00BC7AC8" w:rsidP="00A76CEF">
      <w:pPr>
        <w:contextualSpacing/>
      </w:pPr>
    </w:p>
    <w:p w14:paraId="2B202A0D" w14:textId="77777777" w:rsidR="000675D0" w:rsidRPr="00235450" w:rsidRDefault="00EF290D" w:rsidP="00FB3CCF">
      <w:pPr>
        <w:pStyle w:val="Artikel"/>
        <w:rPr>
          <w:b/>
          <w:lang w:val="en-GB"/>
        </w:rPr>
      </w:pPr>
      <w:r w:rsidRPr="00235450">
        <w:rPr>
          <w:b/>
          <w:lang w:val="en-GB"/>
        </w:rPr>
        <w:t xml:space="preserve">Abbreviations </w:t>
      </w:r>
      <w:r w:rsidR="00170AC1" w:rsidRPr="00235450">
        <w:rPr>
          <w:b/>
          <w:lang w:val="en-GB"/>
        </w:rPr>
        <w:t xml:space="preserve">for </w:t>
      </w:r>
      <w:r w:rsidR="0049697A" w:rsidRPr="00235450">
        <w:rPr>
          <w:b/>
          <w:lang w:val="en-GB"/>
        </w:rPr>
        <w:t>teaching methods</w:t>
      </w:r>
    </w:p>
    <w:p w14:paraId="0BF9FEE8" w14:textId="499B5000" w:rsidR="00EF290D" w:rsidRPr="00235450" w:rsidRDefault="00237E9B" w:rsidP="00650D8E">
      <w:r w:rsidRPr="00235450">
        <w:t xml:space="preserve">In elaboration of Article </w:t>
      </w:r>
      <w:r w:rsidR="00E26016" w:rsidRPr="00235450">
        <w:t xml:space="preserve">15 </w:t>
      </w:r>
      <w:r w:rsidRPr="00235450">
        <w:t>sub b</w:t>
      </w:r>
      <w:r w:rsidR="00A955FF" w:rsidRPr="00235450">
        <w:t xml:space="preserve"> and sub g</w:t>
      </w:r>
      <w:r w:rsidRPr="00235450">
        <w:t xml:space="preserve">, the following applies. </w:t>
      </w:r>
      <w:r w:rsidR="0049697A" w:rsidRPr="00235450">
        <w:t>In t</w:t>
      </w:r>
      <w:r w:rsidR="00EF290D" w:rsidRPr="00235450">
        <w:t>he description</w:t>
      </w:r>
      <w:r w:rsidR="0049697A" w:rsidRPr="00235450">
        <w:t>s</w:t>
      </w:r>
      <w:r w:rsidR="00EF290D" w:rsidRPr="00235450">
        <w:t xml:space="preserve"> of the </w:t>
      </w:r>
      <w:r w:rsidR="0049697A" w:rsidRPr="00235450">
        <w:t xml:space="preserve">courses, the following </w:t>
      </w:r>
      <w:r w:rsidR="00EF290D" w:rsidRPr="00235450">
        <w:t xml:space="preserve">abbreviations for various </w:t>
      </w:r>
      <w:r w:rsidR="00650D8E" w:rsidRPr="00235450">
        <w:t>teaching methods</w:t>
      </w:r>
      <w:r w:rsidR="004815BE">
        <w:t xml:space="preserve"> can be</w:t>
      </w:r>
      <w:r w:rsidR="0049697A" w:rsidRPr="00235450">
        <w:t xml:space="preserve"> are used</w:t>
      </w:r>
      <w:r w:rsidR="002824ED" w:rsidRPr="00235450">
        <w:t>:</w:t>
      </w:r>
    </w:p>
    <w:p w14:paraId="4D6235A2" w14:textId="02251FC7" w:rsidR="004950AF" w:rsidRPr="00235450" w:rsidRDefault="004950AF" w:rsidP="00650D8E">
      <w:r w:rsidRPr="00235450">
        <w:t>EL</w:t>
      </w:r>
      <w:r w:rsidRPr="00235450">
        <w:tab/>
        <w:t>E-learning</w:t>
      </w:r>
    </w:p>
    <w:p w14:paraId="10B4B704" w14:textId="6264BAE1" w:rsidR="002824ED" w:rsidRPr="00235450" w:rsidRDefault="002824ED" w:rsidP="00650D8E">
      <w:r w:rsidRPr="00235450">
        <w:t>E</w:t>
      </w:r>
      <w:r w:rsidR="00237E9B" w:rsidRPr="00235450">
        <w:t>O</w:t>
      </w:r>
      <w:r w:rsidRPr="00235450">
        <w:tab/>
        <w:t>One-day excursion</w:t>
      </w:r>
    </w:p>
    <w:p w14:paraId="7FDDD8C9" w14:textId="77777777" w:rsidR="00237E9B" w:rsidRPr="00235450" w:rsidRDefault="00237E9B" w:rsidP="00650D8E">
      <w:r w:rsidRPr="00235450">
        <w:t>EM</w:t>
      </w:r>
      <w:r w:rsidRPr="00235450">
        <w:tab/>
        <w:t>Multi-day excursion</w:t>
      </w:r>
    </w:p>
    <w:p w14:paraId="7CD28A08" w14:textId="77777777" w:rsidR="00237E9B" w:rsidRPr="00235450" w:rsidRDefault="00237E9B" w:rsidP="00650D8E">
      <w:r w:rsidRPr="00235450">
        <w:t>F</w:t>
      </w:r>
      <w:r w:rsidRPr="00235450">
        <w:tab/>
        <w:t>Field Practical</w:t>
      </w:r>
    </w:p>
    <w:p w14:paraId="34064E37" w14:textId="77777777" w:rsidR="00237E9B" w:rsidRPr="00235450" w:rsidRDefault="00237E9B" w:rsidP="00650D8E">
      <w:r w:rsidRPr="00235450">
        <w:t>G</w:t>
      </w:r>
      <w:r w:rsidRPr="00235450">
        <w:tab/>
        <w:t>Group work</w:t>
      </w:r>
    </w:p>
    <w:p w14:paraId="70F370D0" w14:textId="77777777" w:rsidR="00237E9B" w:rsidRPr="00235450" w:rsidRDefault="00237E9B" w:rsidP="00650D8E">
      <w:r w:rsidRPr="00235450">
        <w:t>IN</w:t>
      </w:r>
      <w:r w:rsidRPr="00235450">
        <w:tab/>
        <w:t>Internship</w:t>
      </w:r>
    </w:p>
    <w:p w14:paraId="463BDDCA" w14:textId="77777777" w:rsidR="002824ED" w:rsidRPr="00235450" w:rsidRDefault="002824ED" w:rsidP="00650D8E">
      <w:r w:rsidRPr="00235450">
        <w:t>IP</w:t>
      </w:r>
      <w:r w:rsidRPr="00235450">
        <w:tab/>
        <w:t>Individual paper</w:t>
      </w:r>
    </w:p>
    <w:p w14:paraId="01B85C63" w14:textId="72F9D37C" w:rsidR="00237E9B" w:rsidRPr="00235450" w:rsidRDefault="00237E9B" w:rsidP="00650D8E">
      <w:r w:rsidRPr="00235450">
        <w:t>IS</w:t>
      </w:r>
      <w:r w:rsidRPr="00235450">
        <w:tab/>
        <w:t>Independent study</w:t>
      </w:r>
    </w:p>
    <w:p w14:paraId="753329BD" w14:textId="5A5EF359" w:rsidR="004950AF" w:rsidRPr="00235450" w:rsidRDefault="004950AF" w:rsidP="00650D8E">
      <w:r w:rsidRPr="00235450">
        <w:t>KC</w:t>
      </w:r>
      <w:r w:rsidRPr="00235450">
        <w:tab/>
        <w:t>Knowledge clip</w:t>
      </w:r>
    </w:p>
    <w:p w14:paraId="18BCF8D1" w14:textId="77777777" w:rsidR="00237E9B" w:rsidRPr="00235450" w:rsidRDefault="00237E9B" w:rsidP="00650D8E">
      <w:r w:rsidRPr="00235450">
        <w:t>Le</w:t>
      </w:r>
      <w:r w:rsidRPr="00235450">
        <w:tab/>
        <w:t>Lecture</w:t>
      </w:r>
    </w:p>
    <w:p w14:paraId="24A21BE8" w14:textId="77777777" w:rsidR="00237E9B" w:rsidRPr="00235450" w:rsidRDefault="00237E9B" w:rsidP="00650D8E">
      <w:r w:rsidRPr="00235450">
        <w:t>P</w:t>
      </w:r>
      <w:r w:rsidRPr="00235450">
        <w:tab/>
        <w:t>Practical</w:t>
      </w:r>
    </w:p>
    <w:p w14:paraId="7A1563AD" w14:textId="77777777" w:rsidR="00237E9B" w:rsidRPr="00235450" w:rsidRDefault="00237E9B" w:rsidP="00650D8E">
      <w:r w:rsidRPr="00235450">
        <w:t>T</w:t>
      </w:r>
      <w:r w:rsidRPr="00235450">
        <w:tab/>
        <w:t>Tutorial</w:t>
      </w:r>
    </w:p>
    <w:p w14:paraId="219DE03B" w14:textId="77777777" w:rsidR="00237E9B" w:rsidRPr="00235450" w:rsidRDefault="00237E9B" w:rsidP="00650D8E">
      <w:r w:rsidRPr="00235450">
        <w:t>Th</w:t>
      </w:r>
      <w:r w:rsidRPr="00235450">
        <w:tab/>
        <w:t>Thesis</w:t>
      </w:r>
    </w:p>
    <w:p w14:paraId="0F2795A4" w14:textId="77777777" w:rsidR="00BC7AC8" w:rsidRPr="00235450" w:rsidRDefault="00BC7AC8" w:rsidP="00BC7AC8"/>
    <w:p w14:paraId="7CA47264" w14:textId="77777777" w:rsidR="00237E9B" w:rsidRPr="00235450" w:rsidRDefault="00121ABC" w:rsidP="00237E9B">
      <w:pPr>
        <w:pStyle w:val="Artikel"/>
        <w:rPr>
          <w:b/>
          <w:lang w:val="en-GB"/>
        </w:rPr>
      </w:pPr>
      <w:r w:rsidRPr="00235450">
        <w:rPr>
          <w:b/>
          <w:lang w:val="en-GB"/>
        </w:rPr>
        <w:lastRenderedPageBreak/>
        <w:t xml:space="preserve">Compulsory attendance </w:t>
      </w:r>
      <w:r w:rsidR="0049697A" w:rsidRPr="00235450">
        <w:rPr>
          <w:b/>
          <w:lang w:val="en-GB"/>
        </w:rPr>
        <w:t xml:space="preserve">for certain </w:t>
      </w:r>
      <w:r w:rsidR="00650D8E" w:rsidRPr="00235450">
        <w:rPr>
          <w:b/>
          <w:lang w:val="en-GB"/>
        </w:rPr>
        <w:t>teaching methods</w:t>
      </w:r>
      <w:r w:rsidR="00170AC1" w:rsidRPr="00235450">
        <w:rPr>
          <w:b/>
          <w:lang w:val="en-GB"/>
        </w:rPr>
        <w:t xml:space="preserve"> </w:t>
      </w:r>
    </w:p>
    <w:p w14:paraId="4BC560E9" w14:textId="6CBC086A" w:rsidR="00237E9B" w:rsidRPr="00235450" w:rsidRDefault="0041318D" w:rsidP="00B75E6F">
      <w:pPr>
        <w:contextualSpacing/>
      </w:pPr>
      <w:r w:rsidRPr="00235450">
        <w:t xml:space="preserve">In elaboration of Article </w:t>
      </w:r>
      <w:r w:rsidR="00E26016" w:rsidRPr="00235450">
        <w:t xml:space="preserve">15 </w:t>
      </w:r>
      <w:r w:rsidR="00C918A2" w:rsidRPr="00235450">
        <w:t>sub g the following applies:</w:t>
      </w:r>
    </w:p>
    <w:p w14:paraId="6E23AAC6" w14:textId="32A4B59E" w:rsidR="00121ABC" w:rsidRPr="00235450" w:rsidRDefault="00121ABC" w:rsidP="00713FEF">
      <w:pPr>
        <w:numPr>
          <w:ilvl w:val="0"/>
          <w:numId w:val="9"/>
        </w:numPr>
        <w:contextualSpacing/>
      </w:pPr>
      <w:r w:rsidRPr="00235450">
        <w:t xml:space="preserve">It is compulsory to attend </w:t>
      </w:r>
      <w:r w:rsidR="00650D8E" w:rsidRPr="00235450">
        <w:t xml:space="preserve">scheduled </w:t>
      </w:r>
      <w:r w:rsidR="0049697A" w:rsidRPr="00235450">
        <w:t xml:space="preserve">course </w:t>
      </w:r>
      <w:r w:rsidR="00650D8E" w:rsidRPr="00235450">
        <w:t>meetings with the following teaching methods</w:t>
      </w:r>
      <w:r w:rsidRPr="00235450">
        <w:t xml:space="preserve">: </w:t>
      </w:r>
      <w:r w:rsidR="00650D8E" w:rsidRPr="00235450">
        <w:t xml:space="preserve">practical </w:t>
      </w:r>
      <w:r w:rsidRPr="00235450">
        <w:t>(P), fieldwork (</w:t>
      </w:r>
      <w:r w:rsidR="00C918A2" w:rsidRPr="00235450">
        <w:t>F</w:t>
      </w:r>
      <w:r w:rsidRPr="00235450">
        <w:t>), excursions (</w:t>
      </w:r>
      <w:r w:rsidR="00C918A2" w:rsidRPr="00235450">
        <w:t>EO</w:t>
      </w:r>
      <w:r w:rsidRPr="00235450">
        <w:t xml:space="preserve">, </w:t>
      </w:r>
      <w:r w:rsidR="00C918A2" w:rsidRPr="00235450">
        <w:t>M</w:t>
      </w:r>
      <w:r w:rsidRPr="00235450">
        <w:t>E)</w:t>
      </w:r>
      <w:r w:rsidR="00C918A2" w:rsidRPr="00235450">
        <w:t>, groupwork (G)</w:t>
      </w:r>
      <w:r w:rsidR="00713FEF">
        <w:t xml:space="preserve"> </w:t>
      </w:r>
      <w:r w:rsidR="00713FEF" w:rsidRPr="00713FEF">
        <w:t>unless otherwise indicated in the Course guide for that particular course</w:t>
      </w:r>
      <w:r w:rsidR="00C918A2" w:rsidRPr="00235450">
        <w:t>.</w:t>
      </w:r>
      <w:r w:rsidRPr="00235450">
        <w:t xml:space="preserve"> </w:t>
      </w:r>
    </w:p>
    <w:p w14:paraId="695B6FDA" w14:textId="167BE4A1" w:rsidR="00121ABC" w:rsidRPr="00235450" w:rsidRDefault="00121ABC" w:rsidP="00F1333D">
      <w:pPr>
        <w:numPr>
          <w:ilvl w:val="0"/>
          <w:numId w:val="9"/>
        </w:numPr>
        <w:contextualSpacing/>
      </w:pPr>
      <w:r w:rsidRPr="00235450">
        <w:t xml:space="preserve">For all other </w:t>
      </w:r>
      <w:r w:rsidR="00650D8E" w:rsidRPr="00235450">
        <w:t>teaching methods</w:t>
      </w:r>
      <w:r w:rsidRPr="00235450">
        <w:t xml:space="preserve">, any compulsory attendance is </w:t>
      </w:r>
      <w:r w:rsidR="009440F2" w:rsidRPr="00235450">
        <w:t xml:space="preserve">specified </w:t>
      </w:r>
      <w:r w:rsidRPr="00235450">
        <w:t xml:space="preserve">in the Study Handbook </w:t>
      </w:r>
      <w:r w:rsidR="00170AC1" w:rsidRPr="00235450">
        <w:t xml:space="preserve">or the </w:t>
      </w:r>
      <w:r w:rsidR="00E43216" w:rsidRPr="00235450">
        <w:t>c</w:t>
      </w:r>
      <w:r w:rsidR="004950AF" w:rsidRPr="00235450">
        <w:t>ourse</w:t>
      </w:r>
      <w:r w:rsidR="00170AC1" w:rsidRPr="00235450">
        <w:t xml:space="preserve"> guide for that particular</w:t>
      </w:r>
      <w:r w:rsidRPr="00235450">
        <w:t xml:space="preserve"> </w:t>
      </w:r>
      <w:r w:rsidR="009440F2" w:rsidRPr="00235450">
        <w:t>course</w:t>
      </w:r>
      <w:r w:rsidRPr="00235450">
        <w:t>.</w:t>
      </w:r>
    </w:p>
    <w:p w14:paraId="73DEFD0C" w14:textId="77777777" w:rsidR="0041318D" w:rsidRPr="00235450" w:rsidRDefault="0041318D" w:rsidP="00F03649">
      <w:pPr>
        <w:contextualSpacing/>
      </w:pPr>
    </w:p>
    <w:p w14:paraId="71C4C0FF" w14:textId="77777777" w:rsidR="00605183" w:rsidRPr="00235450" w:rsidRDefault="00605183" w:rsidP="00605183">
      <w:pPr>
        <w:ind w:left="720"/>
        <w:contextualSpacing/>
      </w:pPr>
    </w:p>
    <w:p w14:paraId="242CF5DE" w14:textId="77777777" w:rsidR="00605183" w:rsidRPr="00235450" w:rsidRDefault="00605183" w:rsidP="00605183">
      <w:pPr>
        <w:pStyle w:val="Artikel"/>
        <w:ind w:left="360" w:hanging="360"/>
        <w:rPr>
          <w:b/>
          <w:lang w:val="en-GB"/>
        </w:rPr>
      </w:pPr>
      <w:r w:rsidRPr="00235450">
        <w:rPr>
          <w:b/>
          <w:lang w:val="en-GB"/>
        </w:rPr>
        <w:t>Commitment to safety regulations and infection prevention</w:t>
      </w:r>
    </w:p>
    <w:p w14:paraId="6BE1099B" w14:textId="3990CBBE" w:rsidR="00605183" w:rsidRPr="00235450" w:rsidRDefault="00713FEF" w:rsidP="00605183">
      <w:pPr>
        <w:pStyle w:val="Artikel"/>
        <w:numPr>
          <w:ilvl w:val="0"/>
          <w:numId w:val="33"/>
        </w:numPr>
        <w:rPr>
          <w:lang w:val="en-GB"/>
        </w:rPr>
      </w:pPr>
      <w:r>
        <w:rPr>
          <w:lang w:val="en-GB"/>
        </w:rPr>
        <w:t xml:space="preserve">Participating in </w:t>
      </w:r>
      <w:r w:rsidR="00605183" w:rsidRPr="00235450">
        <w:rPr>
          <w:lang w:val="en-GB"/>
        </w:rPr>
        <w:t>fieldwork</w:t>
      </w:r>
      <w:r>
        <w:rPr>
          <w:lang w:val="en-GB"/>
        </w:rPr>
        <w:t>, laboratory work, thesis</w:t>
      </w:r>
      <w:r w:rsidR="00605183" w:rsidRPr="00235450">
        <w:rPr>
          <w:lang w:val="en-GB"/>
        </w:rPr>
        <w:t xml:space="preserve"> and internships, rules and regulations regarding safety requirements are determined, such as a vaccination requirement. These requirements arise from legislation and regulations (‘</w:t>
      </w:r>
      <w:proofErr w:type="spellStart"/>
      <w:r w:rsidR="00605183" w:rsidRPr="00235450">
        <w:rPr>
          <w:lang w:val="en-GB"/>
        </w:rPr>
        <w:t>arbo</w:t>
      </w:r>
      <w:proofErr w:type="spellEnd"/>
      <w:r w:rsidR="00605183" w:rsidRPr="00235450">
        <w:rPr>
          <w:lang w:val="en-GB"/>
        </w:rPr>
        <w:t xml:space="preserve">’) and from the policy of Wageningen University and are as much as possible included in the Study Handbook or the Course Guide. More information regarding </w:t>
      </w:r>
      <w:hyperlink r:id="rId14" w:history="1">
        <w:r w:rsidR="00605183" w:rsidRPr="00235450">
          <w:rPr>
            <w:rStyle w:val="Hyperlink"/>
            <w:lang w:val="en-GB"/>
          </w:rPr>
          <w:t>safety instructions</w:t>
        </w:r>
      </w:hyperlink>
      <w:r w:rsidR="00605183" w:rsidRPr="00235450">
        <w:rPr>
          <w:lang w:val="en-GB"/>
        </w:rPr>
        <w:t xml:space="preserve"> and the </w:t>
      </w:r>
      <w:hyperlink r:id="rId15" w:history="1">
        <w:r w:rsidR="00605183" w:rsidRPr="00235450">
          <w:rPr>
            <w:rStyle w:val="Hyperlink"/>
            <w:lang w:val="en-GB"/>
          </w:rPr>
          <w:t>policy on infection prevention</w:t>
        </w:r>
      </w:hyperlink>
      <w:r w:rsidR="00605183" w:rsidRPr="00235450">
        <w:rPr>
          <w:lang w:val="en-GB"/>
        </w:rPr>
        <w:t xml:space="preserve"> can be found on the internet. </w:t>
      </w:r>
    </w:p>
    <w:p w14:paraId="333A75D9" w14:textId="194A0440" w:rsidR="00605183" w:rsidRPr="00235450" w:rsidRDefault="00605183" w:rsidP="00605183">
      <w:pPr>
        <w:pStyle w:val="Lijstalinea"/>
        <w:keepNext/>
        <w:numPr>
          <w:ilvl w:val="0"/>
          <w:numId w:val="33"/>
        </w:numPr>
        <w:autoSpaceDE w:val="0"/>
        <w:autoSpaceDN w:val="0"/>
        <w:adjustRightInd w:val="0"/>
        <w:spacing w:after="200" w:line="276" w:lineRule="auto"/>
        <w:rPr>
          <w:rFonts w:ascii="Calibri" w:hAnsi="Calibri"/>
          <w:sz w:val="22"/>
          <w:lang w:eastAsia="nl-NL"/>
        </w:rPr>
      </w:pPr>
      <w:r w:rsidRPr="00235450">
        <w:t>The course coordinator</w:t>
      </w:r>
      <w:r w:rsidR="00713FEF">
        <w:t>, thesis supervisor</w:t>
      </w:r>
      <w:r w:rsidRPr="00235450">
        <w:t xml:space="preserve"> and/or internship coordinator ensures that the student is informed of possible risks of participation in the education and of the measures taken so the student can work safely. The student is required to  follow the safety regulations.</w:t>
      </w:r>
    </w:p>
    <w:p w14:paraId="64C7C718" w14:textId="59BA3EC3" w:rsidR="00605183" w:rsidRPr="00235450" w:rsidRDefault="00605183" w:rsidP="00713FEF">
      <w:pPr>
        <w:pStyle w:val="Lijstalinea"/>
        <w:numPr>
          <w:ilvl w:val="0"/>
          <w:numId w:val="33"/>
        </w:numPr>
        <w:spacing w:after="200"/>
      </w:pPr>
      <w:r w:rsidRPr="00235450">
        <w:t>The course coordinator</w:t>
      </w:r>
      <w:r w:rsidR="00713FEF">
        <w:t>, thesis supervisor</w:t>
      </w:r>
      <w:r w:rsidRPr="00235450">
        <w:t xml:space="preserve"> and/or internship coordinator ensures -</w:t>
      </w:r>
      <w:r w:rsidRPr="00235450">
        <w:rPr>
          <w:color w:val="222222"/>
          <w:lang w:val="en"/>
        </w:rPr>
        <w:t>as far as reasonably possible-</w:t>
      </w:r>
      <w:r w:rsidRPr="00235450">
        <w:t xml:space="preserve"> that will be verified that students comply with the safety rules. If the student doesn’t comply with the rules, the course coordinator</w:t>
      </w:r>
      <w:r w:rsidR="00713FEF">
        <w:t>,</w:t>
      </w:r>
      <w:r w:rsidRPr="00235450">
        <w:t xml:space="preserve"> </w:t>
      </w:r>
      <w:r w:rsidR="00713FEF" w:rsidRPr="00713FEF">
        <w:t xml:space="preserve">thesis supervisor and/or internship coordinator </w:t>
      </w:r>
      <w:r w:rsidRPr="00235450">
        <w:t xml:space="preserve">must refuse (temporarily or at all) to allow the student to perform specific activities that involve high risk or that create risk. The temporariness depends on the circumstances. </w:t>
      </w:r>
    </w:p>
    <w:p w14:paraId="6324D50B" w14:textId="77777777" w:rsidR="005A17AA" w:rsidRPr="00235450" w:rsidRDefault="005A17AA" w:rsidP="005A17AA"/>
    <w:p w14:paraId="4C9EA30E" w14:textId="6C46EA6A" w:rsidR="0041318D" w:rsidRPr="00235450" w:rsidRDefault="0041318D" w:rsidP="00B75E6F">
      <w:pPr>
        <w:pStyle w:val="Artikel"/>
        <w:rPr>
          <w:b/>
          <w:lang w:val="en-GB"/>
        </w:rPr>
      </w:pPr>
      <w:r w:rsidRPr="00235450">
        <w:rPr>
          <w:b/>
          <w:lang w:val="en-GB"/>
        </w:rPr>
        <w:t>Mandatory and assumed prior knowledge</w:t>
      </w:r>
    </w:p>
    <w:p w14:paraId="7CE226ED" w14:textId="2BA4249A" w:rsidR="0041318D" w:rsidRPr="00235450" w:rsidRDefault="0041318D" w:rsidP="0041318D">
      <w:pPr>
        <w:contextualSpacing/>
      </w:pPr>
      <w:r w:rsidRPr="00235450">
        <w:t xml:space="preserve">In elaboration of Article </w:t>
      </w:r>
      <w:r w:rsidR="00921B31" w:rsidRPr="00235450">
        <w:t>1</w:t>
      </w:r>
      <w:r w:rsidR="001C72DA" w:rsidRPr="00235450">
        <w:t>5</w:t>
      </w:r>
      <w:r w:rsidR="00C5361A" w:rsidRPr="00235450">
        <w:t xml:space="preserve"> sub h</w:t>
      </w:r>
      <w:r w:rsidRPr="00235450">
        <w:t xml:space="preserve"> the following applies:</w:t>
      </w:r>
    </w:p>
    <w:p w14:paraId="0AFC3FF2" w14:textId="531CE682" w:rsidR="0041318D" w:rsidRPr="00235450" w:rsidRDefault="0041318D" w:rsidP="00F1333D">
      <w:pPr>
        <w:pStyle w:val="Lijstalinea"/>
        <w:numPr>
          <w:ilvl w:val="0"/>
          <w:numId w:val="27"/>
        </w:numPr>
      </w:pPr>
      <w:r w:rsidRPr="00235450">
        <w:t xml:space="preserve">Only for the master’s thesis mandatory prior knowledge can be required. </w:t>
      </w:r>
      <w:r w:rsidR="002815ED" w:rsidRPr="00235450">
        <w:t xml:space="preserve">The mandatory prior knowledge, being acquired by passing courses, will be no more than an amount of </w:t>
      </w:r>
      <w:r w:rsidR="00921B31" w:rsidRPr="00235450">
        <w:t xml:space="preserve">10 </w:t>
      </w:r>
      <w:r w:rsidR="002815ED" w:rsidRPr="00235450">
        <w:t>credits and must be d</w:t>
      </w:r>
      <w:r w:rsidR="00E43216" w:rsidRPr="00235450">
        <w:t>e</w:t>
      </w:r>
      <w:r w:rsidR="002815ED" w:rsidRPr="00235450">
        <w:t>scribed in the Study Handbook. The courses must be part of the prescribed part of the programme</w:t>
      </w:r>
    </w:p>
    <w:p w14:paraId="0A2DE555" w14:textId="1FF3105A" w:rsidR="002E240C" w:rsidRPr="00235450" w:rsidRDefault="002E240C" w:rsidP="00F1333D">
      <w:pPr>
        <w:pStyle w:val="Lijstalinea"/>
        <w:numPr>
          <w:ilvl w:val="0"/>
          <w:numId w:val="27"/>
        </w:numPr>
      </w:pPr>
      <w:r w:rsidRPr="00235450">
        <w:t>For the RMC (Research Master Cluster) a finished master</w:t>
      </w:r>
      <w:r w:rsidR="00344855" w:rsidRPr="00235450">
        <w:t xml:space="preserve">’s </w:t>
      </w:r>
      <w:r w:rsidRPr="00235450">
        <w:t>thesis can be required as mandatory prior knowledge.</w:t>
      </w:r>
    </w:p>
    <w:p w14:paraId="1DC3AD1F" w14:textId="4B2EEB55" w:rsidR="0041318D" w:rsidRPr="00235450" w:rsidRDefault="0041318D" w:rsidP="00F1333D">
      <w:pPr>
        <w:pStyle w:val="Lijstalinea"/>
        <w:numPr>
          <w:ilvl w:val="0"/>
          <w:numId w:val="27"/>
        </w:numPr>
      </w:pPr>
      <w:r w:rsidRPr="00235450">
        <w:t>For all other courses,</w:t>
      </w:r>
      <w:r w:rsidR="00D15515" w:rsidRPr="00235450">
        <w:t xml:space="preserve"> </w:t>
      </w:r>
      <w:r w:rsidRPr="00235450">
        <w:t xml:space="preserve">prior knowledge can </w:t>
      </w:r>
      <w:r w:rsidR="00D15515" w:rsidRPr="00235450">
        <w:t xml:space="preserve">only </w:t>
      </w:r>
      <w:r w:rsidRPr="00235450">
        <w:t xml:space="preserve">be </w:t>
      </w:r>
      <w:r w:rsidR="00D15515" w:rsidRPr="00235450">
        <w:t xml:space="preserve">assumed. </w:t>
      </w:r>
      <w:r w:rsidRPr="00235450">
        <w:t xml:space="preserve"> Assumed prior knowledge is knowledge which the</w:t>
      </w:r>
      <w:r w:rsidR="001A4FB3" w:rsidRPr="00235450">
        <w:t xml:space="preserve"> student is supposed to have</w:t>
      </w:r>
      <w:r w:rsidRPr="00235450">
        <w:t xml:space="preserve"> acquired before the start of the course and on the basis of which the lecturer will continue his lectures. The assumed prior knowledge will be described as courses which are supposed to </w:t>
      </w:r>
      <w:r w:rsidR="001A4FB3" w:rsidRPr="00235450">
        <w:t xml:space="preserve">have </w:t>
      </w:r>
      <w:r w:rsidRPr="00235450">
        <w:t>be</w:t>
      </w:r>
      <w:r w:rsidR="001A4FB3" w:rsidRPr="00235450">
        <w:t>en</w:t>
      </w:r>
      <w:r w:rsidRPr="00235450">
        <w:t xml:space="preserve"> passed successfully or as</w:t>
      </w:r>
      <w:r w:rsidR="00E43216" w:rsidRPr="00235450">
        <w:t xml:space="preserve"> </w:t>
      </w:r>
      <w:r w:rsidR="001A4FB3" w:rsidRPr="00235450">
        <w:t>previously</w:t>
      </w:r>
      <w:r w:rsidRPr="00235450">
        <w:t xml:space="preserve"> acquired learning outcomes. For courses in the </w:t>
      </w:r>
      <w:r w:rsidR="001A4FB3" w:rsidRPr="00235450">
        <w:t>pr</w:t>
      </w:r>
      <w:r w:rsidRPr="00235450">
        <w:t>escribed component of the programme, prior knowledge can only be assumed if such courses or learning outcomes are part of the prescribed component of the programme and have been scheduled before this very course.</w:t>
      </w:r>
    </w:p>
    <w:p w14:paraId="76D53D6C" w14:textId="77777777" w:rsidR="0041318D" w:rsidRPr="00235450" w:rsidRDefault="0041318D" w:rsidP="0041318D">
      <w:pPr>
        <w:contextualSpacing/>
      </w:pPr>
    </w:p>
    <w:p w14:paraId="6DA25D28" w14:textId="77777777" w:rsidR="00D15515" w:rsidRPr="00235450" w:rsidRDefault="00D15515" w:rsidP="00806A53">
      <w:pPr>
        <w:pStyle w:val="Artikel"/>
        <w:rPr>
          <w:b/>
          <w:lang w:val="en-GB"/>
        </w:rPr>
      </w:pPr>
      <w:r w:rsidRPr="00235450">
        <w:rPr>
          <w:b/>
          <w:lang w:val="en-GB"/>
        </w:rPr>
        <w:t>Requirements with regard to study progress</w:t>
      </w:r>
    </w:p>
    <w:p w14:paraId="08DCAA37" w14:textId="534C42B8" w:rsidR="00D15515" w:rsidRPr="00235450" w:rsidRDefault="00D15515" w:rsidP="00806A53">
      <w:r w:rsidRPr="00235450">
        <w:t xml:space="preserve">In elaboration of Article </w:t>
      </w:r>
      <w:r w:rsidR="001C72DA" w:rsidRPr="00235450">
        <w:t>15</w:t>
      </w:r>
      <w:r w:rsidR="00C5361A" w:rsidRPr="00235450">
        <w:t xml:space="preserve"> </w:t>
      </w:r>
      <w:r w:rsidRPr="00235450">
        <w:t xml:space="preserve">sub </w:t>
      </w:r>
      <w:proofErr w:type="spellStart"/>
      <w:r w:rsidRPr="00235450">
        <w:t>i</w:t>
      </w:r>
      <w:proofErr w:type="spellEnd"/>
      <w:r w:rsidRPr="00235450">
        <w:t>, the following applies:</w:t>
      </w:r>
    </w:p>
    <w:p w14:paraId="494EFC46" w14:textId="77777777" w:rsidR="00D15515" w:rsidRPr="00235450" w:rsidRDefault="00D15515" w:rsidP="00C5361A">
      <w:r w:rsidRPr="00235450">
        <w:t>For the master’s thesis and the internship the prescribed study progress in credits will be mentioned in the Study Handbook.</w:t>
      </w:r>
    </w:p>
    <w:p w14:paraId="7B9C0ADC" w14:textId="77777777" w:rsidR="00F90E60" w:rsidRPr="00235450" w:rsidRDefault="00F90E60" w:rsidP="00F90E60"/>
    <w:p w14:paraId="23461FB1" w14:textId="64115E74" w:rsidR="00F90E60" w:rsidRPr="00235450" w:rsidRDefault="00F90E60" w:rsidP="00F90E60">
      <w:pPr>
        <w:pStyle w:val="Artikel"/>
        <w:rPr>
          <w:b/>
        </w:rPr>
      </w:pPr>
      <w:proofErr w:type="spellStart"/>
      <w:r w:rsidRPr="00235450">
        <w:rPr>
          <w:b/>
        </w:rPr>
        <w:t>Feasible</w:t>
      </w:r>
      <w:proofErr w:type="spellEnd"/>
      <w:r w:rsidRPr="00235450">
        <w:rPr>
          <w:b/>
        </w:rPr>
        <w:t xml:space="preserve"> </w:t>
      </w:r>
      <w:proofErr w:type="spellStart"/>
      <w:r w:rsidRPr="00235450">
        <w:rPr>
          <w:b/>
        </w:rPr>
        <w:t>scheduling</w:t>
      </w:r>
      <w:proofErr w:type="spellEnd"/>
    </w:p>
    <w:p w14:paraId="4D8D1EB3" w14:textId="10B21AAE" w:rsidR="00FA6546" w:rsidRPr="00235450" w:rsidRDefault="00F90E60" w:rsidP="00F1333D">
      <w:pPr>
        <w:pStyle w:val="Lijstalinea"/>
        <w:numPr>
          <w:ilvl w:val="0"/>
          <w:numId w:val="28"/>
        </w:numPr>
      </w:pPr>
      <w:r w:rsidRPr="00235450">
        <w:t xml:space="preserve">The courses and corresponding interim examinations and </w:t>
      </w:r>
      <w:r w:rsidR="00C93E69" w:rsidRPr="00235450">
        <w:t>resit</w:t>
      </w:r>
      <w:r w:rsidR="002462F8" w:rsidRPr="00235450">
        <w:t>s</w:t>
      </w:r>
      <w:r w:rsidRPr="00235450">
        <w:t xml:space="preserve">  of the prescribed component of each programme are scheduled in such a way that reasonably no study delay will occur. However, for </w:t>
      </w:r>
      <w:r w:rsidR="00A05800" w:rsidRPr="00235450">
        <w:t xml:space="preserve">extra </w:t>
      </w:r>
      <w:r w:rsidRPr="00235450">
        <w:t>courses chosen by students  it cannot be guaranteed they will be feasibly scheduled.</w:t>
      </w:r>
    </w:p>
    <w:p w14:paraId="7B6E8E15" w14:textId="357E99DD" w:rsidR="00A727F1" w:rsidRPr="00235450" w:rsidRDefault="00A727F1" w:rsidP="00F1333D">
      <w:pPr>
        <w:pStyle w:val="Lijstalinea"/>
        <w:numPr>
          <w:ilvl w:val="0"/>
          <w:numId w:val="28"/>
        </w:numPr>
      </w:pPr>
      <w:r w:rsidRPr="00235450">
        <w:lastRenderedPageBreak/>
        <w:t>Compulsory courses and restricted optional courses will solely be scheduled on working days in the designated education periods between 8:20 AM and 19:00 PM. Other courses, like online courses, honours programme, summer courses, excursions, can also be scheduled in different periods and on different moments, e.g. also in the evening, in weekends or during holidays</w:t>
      </w:r>
      <w:r w:rsidR="008516F2" w:rsidRPr="00235450">
        <w:t>.</w:t>
      </w:r>
    </w:p>
    <w:p w14:paraId="54E1846E" w14:textId="77777777" w:rsidR="008516F2" w:rsidRPr="00235450" w:rsidRDefault="008516F2" w:rsidP="008516F2">
      <w:pPr>
        <w:pStyle w:val="Lijstalinea"/>
      </w:pPr>
    </w:p>
    <w:p w14:paraId="7630DBFF" w14:textId="77777777" w:rsidR="0041318D" w:rsidRPr="00235450" w:rsidRDefault="0041318D" w:rsidP="0041318D">
      <w:pPr>
        <w:contextualSpacing/>
      </w:pPr>
    </w:p>
    <w:p w14:paraId="4B74CC48" w14:textId="1BB645E0" w:rsidR="00CE1AB8" w:rsidRPr="00235450" w:rsidRDefault="00574011" w:rsidP="00F1333D">
      <w:pPr>
        <w:pStyle w:val="Kop1"/>
        <w:numPr>
          <w:ilvl w:val="0"/>
          <w:numId w:val="30"/>
        </w:numPr>
      </w:pPr>
      <w:bookmarkStart w:id="17" w:name="_Toc54257550"/>
      <w:r w:rsidRPr="00235450">
        <w:t>Interim examinations</w:t>
      </w:r>
      <w:r w:rsidR="002462F8" w:rsidRPr="00235450">
        <w:t xml:space="preserve"> and </w:t>
      </w:r>
      <w:r w:rsidR="00C93E69" w:rsidRPr="00235450">
        <w:t>resit</w:t>
      </w:r>
      <w:r w:rsidR="002462F8" w:rsidRPr="00235450">
        <w:t>s</w:t>
      </w:r>
      <w:bookmarkEnd w:id="17"/>
    </w:p>
    <w:p w14:paraId="5ACDCFBB" w14:textId="549DAF8D" w:rsidR="00CE1AB8" w:rsidRPr="00235450" w:rsidRDefault="00AF76E0" w:rsidP="00702E75">
      <w:pPr>
        <w:pStyle w:val="Kop2"/>
      </w:pPr>
      <w:bookmarkStart w:id="18" w:name="_Toc385260778"/>
      <w:bookmarkStart w:id="19" w:name="_Toc54257551"/>
      <w:r w:rsidRPr="00235450">
        <w:t>Section</w:t>
      </w:r>
      <w:r w:rsidR="00CE1AB8" w:rsidRPr="00235450">
        <w:t xml:space="preserve"> 1</w:t>
      </w:r>
      <w:r w:rsidR="00CE1AB8" w:rsidRPr="00235450">
        <w:tab/>
      </w:r>
      <w:bookmarkEnd w:id="18"/>
      <w:r w:rsidR="00C93E69" w:rsidRPr="00235450">
        <w:t>Resit</w:t>
      </w:r>
      <w:r w:rsidR="006C5891" w:rsidRPr="00235450">
        <w:t xml:space="preserve"> possibility</w:t>
      </w:r>
      <w:bookmarkEnd w:id="19"/>
    </w:p>
    <w:p w14:paraId="24A71027" w14:textId="77777777" w:rsidR="00CE1AB8" w:rsidRPr="00235450" w:rsidRDefault="00CE1AB8" w:rsidP="00CE1AB8"/>
    <w:p w14:paraId="38236C21" w14:textId="1916CE3D" w:rsidR="00622C7A" w:rsidRPr="00235450" w:rsidRDefault="00622C7A" w:rsidP="00702E75">
      <w:pPr>
        <w:pStyle w:val="Artikel"/>
        <w:rPr>
          <w:lang w:val="en-GB"/>
        </w:rPr>
      </w:pPr>
      <w:r w:rsidRPr="00235450">
        <w:rPr>
          <w:lang w:val="en-GB"/>
        </w:rPr>
        <w:t xml:space="preserve"> </w:t>
      </w:r>
      <w:r w:rsidR="00E26016" w:rsidRPr="00235450">
        <w:rPr>
          <w:b/>
          <w:lang w:val="en-GB"/>
        </w:rPr>
        <w:t>R</w:t>
      </w:r>
      <w:r w:rsidR="00C93E69" w:rsidRPr="00235450">
        <w:rPr>
          <w:b/>
          <w:lang w:val="en-GB"/>
        </w:rPr>
        <w:t>esit</w:t>
      </w:r>
      <w:r w:rsidRPr="00235450">
        <w:rPr>
          <w:b/>
          <w:lang w:val="en-GB"/>
        </w:rPr>
        <w:t xml:space="preserve"> </w:t>
      </w:r>
      <w:r w:rsidR="004D1CE1" w:rsidRPr="00235450">
        <w:rPr>
          <w:b/>
          <w:lang w:val="en-GB"/>
        </w:rPr>
        <w:t>after</w:t>
      </w:r>
      <w:r w:rsidR="006D7B75" w:rsidRPr="00235450">
        <w:rPr>
          <w:b/>
          <w:lang w:val="en-GB"/>
        </w:rPr>
        <w:t xml:space="preserve"> </w:t>
      </w:r>
      <w:r w:rsidRPr="00235450">
        <w:rPr>
          <w:b/>
          <w:lang w:val="en-GB"/>
        </w:rPr>
        <w:t>pass</w:t>
      </w:r>
      <w:r w:rsidR="004D1CE1" w:rsidRPr="00235450">
        <w:rPr>
          <w:b/>
          <w:lang w:val="en-GB"/>
        </w:rPr>
        <w:t>ing</w:t>
      </w:r>
      <w:r w:rsidRPr="00235450">
        <w:rPr>
          <w:b/>
          <w:lang w:val="en-GB"/>
        </w:rPr>
        <w:t xml:space="preserve"> </w:t>
      </w:r>
      <w:r w:rsidR="000C7812" w:rsidRPr="00235450">
        <w:rPr>
          <w:b/>
          <w:lang w:val="en-GB"/>
        </w:rPr>
        <w:t>written</w:t>
      </w:r>
      <w:r w:rsidR="00D92BF1" w:rsidRPr="00235450">
        <w:rPr>
          <w:b/>
          <w:lang w:val="en-GB"/>
        </w:rPr>
        <w:t xml:space="preserve"> interim </w:t>
      </w:r>
      <w:r w:rsidRPr="00235450">
        <w:rPr>
          <w:b/>
          <w:lang w:val="en-GB"/>
        </w:rPr>
        <w:t>examination</w:t>
      </w:r>
      <w:r w:rsidR="002319AB" w:rsidRPr="00235450">
        <w:rPr>
          <w:b/>
          <w:lang w:val="en-GB"/>
        </w:rPr>
        <w:t>s</w:t>
      </w:r>
      <w:r w:rsidRPr="00235450">
        <w:rPr>
          <w:lang w:val="en-GB"/>
        </w:rPr>
        <w:t xml:space="preserve"> </w:t>
      </w:r>
    </w:p>
    <w:p w14:paraId="41F7FE29" w14:textId="6A3CF07C" w:rsidR="00622C7A" w:rsidRPr="00235450" w:rsidRDefault="00622C7A" w:rsidP="00A76CEF">
      <w:r w:rsidRPr="00235450">
        <w:t>If a student has passed a</w:t>
      </w:r>
      <w:r w:rsidR="00C03A9C" w:rsidRPr="00235450">
        <w:t xml:space="preserve"> </w:t>
      </w:r>
      <w:r w:rsidR="00D92BF1" w:rsidRPr="00235450">
        <w:t>written interim</w:t>
      </w:r>
      <w:r w:rsidRPr="00235450">
        <w:t xml:space="preserve"> exam</w:t>
      </w:r>
      <w:r w:rsidR="00170AC1" w:rsidRPr="00235450">
        <w:t>ination</w:t>
      </w:r>
      <w:r w:rsidR="00CB6B6D" w:rsidRPr="00235450">
        <w:t>, he</w:t>
      </w:r>
      <w:r w:rsidRPr="00235450">
        <w:t xml:space="preserve"> is allowed to </w:t>
      </w:r>
      <w:proofErr w:type="spellStart"/>
      <w:r w:rsidR="00C93E69" w:rsidRPr="00235450">
        <w:t>resit</w:t>
      </w:r>
      <w:proofErr w:type="spellEnd"/>
      <w:r w:rsidRPr="00235450">
        <w:t xml:space="preserve"> that </w:t>
      </w:r>
      <w:r w:rsidR="00D92BF1" w:rsidRPr="00235450">
        <w:t xml:space="preserve">interim </w:t>
      </w:r>
      <w:r w:rsidRPr="00235450">
        <w:t>exam</w:t>
      </w:r>
      <w:r w:rsidR="00170AC1" w:rsidRPr="00235450">
        <w:t>ination</w:t>
      </w:r>
      <w:r w:rsidR="00BB5295" w:rsidRPr="00235450">
        <w:t xml:space="preserve"> no more than one time</w:t>
      </w:r>
      <w:r w:rsidRPr="00235450">
        <w:t>.</w:t>
      </w:r>
      <w:r w:rsidR="00583779" w:rsidRPr="00235450">
        <w:t xml:space="preserve"> The highest grade counts</w:t>
      </w:r>
      <w:r w:rsidR="002319AB" w:rsidRPr="00235450">
        <w:t>.</w:t>
      </w:r>
      <w:r w:rsidR="00FF1753" w:rsidRPr="00235450">
        <w:t xml:space="preserve"> </w:t>
      </w:r>
      <w:r w:rsidR="000C7812" w:rsidRPr="00235450">
        <w:t xml:space="preserve">There is no </w:t>
      </w:r>
      <w:r w:rsidR="00C93E69" w:rsidRPr="00235450">
        <w:t>resit</w:t>
      </w:r>
      <w:r w:rsidR="000C7812" w:rsidRPr="00235450">
        <w:t xml:space="preserve"> possibility for passed oral interim examinations</w:t>
      </w:r>
      <w:r w:rsidR="00C03A9C" w:rsidRPr="00235450">
        <w:t xml:space="preserve"> or w</w:t>
      </w:r>
      <w:r w:rsidR="003A6747" w:rsidRPr="00235450">
        <w:t>ri</w:t>
      </w:r>
      <w:r w:rsidR="00C03A9C" w:rsidRPr="00235450">
        <w:t>tten interim examinations consisting of essays, reports or theses</w:t>
      </w:r>
      <w:r w:rsidR="000C7812" w:rsidRPr="00235450">
        <w:t>.</w:t>
      </w:r>
    </w:p>
    <w:p w14:paraId="61DE525E" w14:textId="77777777" w:rsidR="00622C7A" w:rsidRPr="00235450" w:rsidRDefault="00622C7A" w:rsidP="00A76CEF"/>
    <w:p w14:paraId="290ADA6F" w14:textId="14637596" w:rsidR="00622C7A" w:rsidRPr="00235450" w:rsidRDefault="00AF76E0" w:rsidP="00702E75">
      <w:pPr>
        <w:pStyle w:val="Kop2"/>
      </w:pPr>
      <w:bookmarkStart w:id="20" w:name="_Toc54257552"/>
      <w:r w:rsidRPr="00235450">
        <w:t>Section</w:t>
      </w:r>
      <w:r w:rsidR="002A7C0B" w:rsidRPr="00235450">
        <w:t xml:space="preserve"> </w:t>
      </w:r>
      <w:r w:rsidR="00622C7A" w:rsidRPr="00235450">
        <w:t>2</w:t>
      </w:r>
      <w:r w:rsidR="00622C7A" w:rsidRPr="00235450">
        <w:tab/>
      </w:r>
      <w:r w:rsidR="006C5891" w:rsidRPr="00235450">
        <w:t>E</w:t>
      </w:r>
      <w:r w:rsidR="00BB1FC6" w:rsidRPr="00235450">
        <w:t>xamination material</w:t>
      </w:r>
      <w:bookmarkEnd w:id="20"/>
    </w:p>
    <w:p w14:paraId="206A9896" w14:textId="77777777" w:rsidR="00622C7A" w:rsidRPr="00235450" w:rsidRDefault="00622C7A" w:rsidP="00A76CEF"/>
    <w:p w14:paraId="346C782D" w14:textId="77777777" w:rsidR="00622C7A" w:rsidRPr="00235450" w:rsidRDefault="00622C7A" w:rsidP="00702E75">
      <w:pPr>
        <w:pStyle w:val="Artikel"/>
        <w:rPr>
          <w:b/>
          <w:lang w:val="en-GB"/>
        </w:rPr>
      </w:pPr>
      <w:r w:rsidRPr="00235450">
        <w:rPr>
          <w:b/>
          <w:lang w:val="en-GB"/>
        </w:rPr>
        <w:t>Examination material – general</w:t>
      </w:r>
    </w:p>
    <w:p w14:paraId="404B2D57" w14:textId="3EE2B720" w:rsidR="00622C7A" w:rsidRPr="00235450" w:rsidRDefault="00622C7A" w:rsidP="009F4F22">
      <w:r w:rsidRPr="00235450">
        <w:t xml:space="preserve">The questions and assignments </w:t>
      </w:r>
      <w:r w:rsidR="008C4E57" w:rsidRPr="00235450">
        <w:t>contained in</w:t>
      </w:r>
      <w:r w:rsidRPr="00235450">
        <w:t xml:space="preserve"> a written or oral </w:t>
      </w:r>
      <w:r w:rsidR="006D7B75" w:rsidRPr="00235450">
        <w:t xml:space="preserve">interim </w:t>
      </w:r>
      <w:r w:rsidRPr="00235450">
        <w:t>examination shall not ex</w:t>
      </w:r>
      <w:r w:rsidR="00A727F1" w:rsidRPr="00235450">
        <w:t>ceed</w:t>
      </w:r>
      <w:r w:rsidRPr="00235450">
        <w:t xml:space="preserve"> the examination material </w:t>
      </w:r>
      <w:r w:rsidR="00A727F1" w:rsidRPr="00235450">
        <w:t>previously published in the Study Handbook and</w:t>
      </w:r>
      <w:r w:rsidR="004D1CE1" w:rsidRPr="00235450">
        <w:t>/</w:t>
      </w:r>
      <w:r w:rsidR="00A727F1" w:rsidRPr="00235450">
        <w:t>or the course guide.</w:t>
      </w:r>
    </w:p>
    <w:p w14:paraId="1F173807" w14:textId="77777777" w:rsidR="00622C7A" w:rsidRPr="00235450" w:rsidRDefault="00622C7A" w:rsidP="00622C7A"/>
    <w:p w14:paraId="58CD1AB7" w14:textId="77777777" w:rsidR="00622C7A" w:rsidRPr="00235450" w:rsidRDefault="00622C7A" w:rsidP="009F4F22">
      <w:pPr>
        <w:pStyle w:val="Artikel"/>
        <w:rPr>
          <w:b/>
          <w:lang w:val="en-GB"/>
        </w:rPr>
      </w:pPr>
      <w:r w:rsidRPr="00235450">
        <w:rPr>
          <w:b/>
          <w:lang w:val="en-GB"/>
        </w:rPr>
        <w:t>Ex</w:t>
      </w:r>
      <w:r w:rsidR="00610E4B" w:rsidRPr="00235450">
        <w:rPr>
          <w:b/>
          <w:lang w:val="en-GB"/>
        </w:rPr>
        <w:t>am</w:t>
      </w:r>
      <w:r w:rsidRPr="00235450">
        <w:rPr>
          <w:b/>
          <w:lang w:val="en-GB"/>
        </w:rPr>
        <w:t xml:space="preserve">ination material </w:t>
      </w:r>
      <w:r w:rsidR="006D7B75" w:rsidRPr="00235450">
        <w:rPr>
          <w:b/>
          <w:lang w:val="en-GB"/>
        </w:rPr>
        <w:t xml:space="preserve">for </w:t>
      </w:r>
      <w:r w:rsidR="00610E4B" w:rsidRPr="00235450">
        <w:rPr>
          <w:b/>
          <w:lang w:val="en-GB"/>
        </w:rPr>
        <w:t>an altered</w:t>
      </w:r>
      <w:r w:rsidRPr="00235450">
        <w:rPr>
          <w:b/>
          <w:lang w:val="en-GB"/>
        </w:rPr>
        <w:t xml:space="preserve"> </w:t>
      </w:r>
      <w:r w:rsidR="002A7C0B" w:rsidRPr="00235450">
        <w:rPr>
          <w:b/>
          <w:lang w:val="en-GB"/>
        </w:rPr>
        <w:t xml:space="preserve">or cancelled </w:t>
      </w:r>
      <w:r w:rsidR="006D7B75" w:rsidRPr="00235450">
        <w:rPr>
          <w:b/>
          <w:lang w:val="en-GB"/>
        </w:rPr>
        <w:t>course</w:t>
      </w:r>
    </w:p>
    <w:p w14:paraId="4F86C4D5" w14:textId="1A982257" w:rsidR="000675D0" w:rsidRPr="00235450" w:rsidRDefault="008C4E57" w:rsidP="00A76CEF">
      <w:r w:rsidRPr="00235450">
        <w:t>If</w:t>
      </w:r>
      <w:r w:rsidR="00622C7A" w:rsidRPr="00235450">
        <w:t xml:space="preserve"> the examination material or the </w:t>
      </w:r>
      <w:r w:rsidR="002A7C0B" w:rsidRPr="00235450">
        <w:t xml:space="preserve">type of </w:t>
      </w:r>
      <w:r w:rsidR="00622C7A" w:rsidRPr="00235450">
        <w:t xml:space="preserve">examination </w:t>
      </w:r>
      <w:r w:rsidR="002A7C0B" w:rsidRPr="00235450">
        <w:t xml:space="preserve">for </w:t>
      </w:r>
      <w:r w:rsidR="00622C7A" w:rsidRPr="00235450">
        <w:t xml:space="preserve">a particular </w:t>
      </w:r>
      <w:r w:rsidR="00211779" w:rsidRPr="00235450">
        <w:t>course</w:t>
      </w:r>
      <w:r w:rsidR="00622C7A" w:rsidRPr="00235450">
        <w:t xml:space="preserve"> </w:t>
      </w:r>
      <w:r w:rsidR="002A7C0B" w:rsidRPr="00235450">
        <w:t xml:space="preserve">are </w:t>
      </w:r>
      <w:r w:rsidR="00610E4B" w:rsidRPr="00235450">
        <w:t>significantly altered</w:t>
      </w:r>
      <w:r w:rsidR="002A7C0B" w:rsidRPr="00235450">
        <w:t xml:space="preserve"> (regardless of whether or not the same course code is used)</w:t>
      </w:r>
      <w:r w:rsidR="00610E4B" w:rsidRPr="00235450">
        <w:t xml:space="preserve"> or</w:t>
      </w:r>
      <w:r w:rsidR="002A7C0B" w:rsidRPr="00235450">
        <w:t xml:space="preserve"> if the course is</w:t>
      </w:r>
      <w:r w:rsidR="00610E4B" w:rsidRPr="00235450">
        <w:t xml:space="preserve"> cancelled,</w:t>
      </w:r>
      <w:r w:rsidR="006D7B75" w:rsidRPr="00235450">
        <w:t xml:space="preserve"> </w:t>
      </w:r>
      <w:r w:rsidR="00610E4B" w:rsidRPr="00235450">
        <w:t xml:space="preserve">then the </w:t>
      </w:r>
      <w:r w:rsidR="002A7C0B" w:rsidRPr="00235450">
        <w:t xml:space="preserve">interim </w:t>
      </w:r>
      <w:r w:rsidR="00610E4B" w:rsidRPr="00235450">
        <w:t>examination</w:t>
      </w:r>
      <w:r w:rsidR="00A727F1" w:rsidRPr="00235450">
        <w:t xml:space="preserve"> shall additionally be </w:t>
      </w:r>
      <w:r w:rsidRPr="00235450">
        <w:t xml:space="preserve">given </w:t>
      </w:r>
      <w:r w:rsidR="00A727F1" w:rsidRPr="00235450">
        <w:t xml:space="preserve">in the previous form </w:t>
      </w:r>
      <w:r w:rsidR="00610E4B" w:rsidRPr="00235450">
        <w:t xml:space="preserve">in the </w:t>
      </w:r>
      <w:proofErr w:type="spellStart"/>
      <w:r w:rsidR="00C93E69" w:rsidRPr="00235450">
        <w:t>resit</w:t>
      </w:r>
      <w:proofErr w:type="spellEnd"/>
      <w:r w:rsidR="00610E4B" w:rsidRPr="00235450">
        <w:t xml:space="preserve"> period</w:t>
      </w:r>
      <w:r w:rsidR="009F4F22" w:rsidRPr="00235450">
        <w:t>s</w:t>
      </w:r>
      <w:r w:rsidR="00610E4B" w:rsidRPr="00235450">
        <w:t xml:space="preserve"> of the first year </w:t>
      </w:r>
      <w:r w:rsidR="00A727F1" w:rsidRPr="00235450">
        <w:t>of</w:t>
      </w:r>
      <w:r w:rsidR="00610E4B" w:rsidRPr="00235450">
        <w:t xml:space="preserve"> the altered </w:t>
      </w:r>
      <w:r w:rsidR="00211779" w:rsidRPr="00235450">
        <w:t xml:space="preserve">course </w:t>
      </w:r>
      <w:r w:rsidR="00610E4B" w:rsidRPr="00235450">
        <w:t xml:space="preserve">or </w:t>
      </w:r>
      <w:r w:rsidR="002A7C0B" w:rsidRPr="00235450">
        <w:t xml:space="preserve">the first year after </w:t>
      </w:r>
      <w:r w:rsidR="00610E4B" w:rsidRPr="00235450">
        <w:t xml:space="preserve">the </w:t>
      </w:r>
      <w:r w:rsidR="00211779" w:rsidRPr="00235450">
        <w:t xml:space="preserve">course </w:t>
      </w:r>
      <w:r w:rsidR="00610E4B" w:rsidRPr="00235450">
        <w:t>has been cancelled</w:t>
      </w:r>
      <w:r w:rsidR="00A727F1" w:rsidRPr="00235450">
        <w:t>.</w:t>
      </w:r>
    </w:p>
    <w:p w14:paraId="0039FDDE" w14:textId="77777777" w:rsidR="009F4F22" w:rsidRPr="00235450" w:rsidRDefault="009F4F22" w:rsidP="00A76CEF"/>
    <w:p w14:paraId="4BCCE2FF" w14:textId="3F055FDB" w:rsidR="00610E4B" w:rsidRPr="00235450" w:rsidRDefault="002A7C0B" w:rsidP="00A76CEF">
      <w:pPr>
        <w:pStyle w:val="Kop2"/>
      </w:pPr>
      <w:bookmarkStart w:id="21" w:name="_Toc385260780"/>
      <w:bookmarkStart w:id="22" w:name="_Toc54257553"/>
      <w:r w:rsidRPr="00235450">
        <w:t>Section</w:t>
      </w:r>
      <w:r w:rsidR="00610E4B" w:rsidRPr="00235450">
        <w:t xml:space="preserve"> 3</w:t>
      </w:r>
      <w:r w:rsidR="00610E4B" w:rsidRPr="00235450">
        <w:tab/>
      </w:r>
      <w:bookmarkEnd w:id="21"/>
      <w:r w:rsidR="006C5891" w:rsidRPr="00235450">
        <w:t>T</w:t>
      </w:r>
      <w:r w:rsidR="00BB1FC6" w:rsidRPr="00235450">
        <w:t>ype of exam</w:t>
      </w:r>
      <w:r w:rsidR="006C5891" w:rsidRPr="00235450">
        <w:t>ination</w:t>
      </w:r>
      <w:r w:rsidR="00BB1FC6" w:rsidRPr="00235450">
        <w:t xml:space="preserve"> and </w:t>
      </w:r>
      <w:r w:rsidRPr="00235450">
        <w:t>scheduling</w:t>
      </w:r>
      <w:bookmarkEnd w:id="22"/>
    </w:p>
    <w:p w14:paraId="0E2D3712" w14:textId="77777777" w:rsidR="00610E4B" w:rsidRPr="00235450" w:rsidRDefault="00610E4B" w:rsidP="00610E4B"/>
    <w:p w14:paraId="77A654A6" w14:textId="77777777" w:rsidR="00610E4B" w:rsidRPr="00235450" w:rsidRDefault="00610E4B" w:rsidP="00A76CEF">
      <w:pPr>
        <w:pStyle w:val="Artikel"/>
        <w:rPr>
          <w:b/>
          <w:lang w:val="en-GB"/>
        </w:rPr>
      </w:pPr>
      <w:r w:rsidRPr="00235450">
        <w:rPr>
          <w:b/>
          <w:lang w:val="en-GB"/>
        </w:rPr>
        <w:t>Written examinations (</w:t>
      </w:r>
      <w:r w:rsidR="002A7C0B" w:rsidRPr="00235450">
        <w:rPr>
          <w:b/>
          <w:lang w:val="en-GB"/>
        </w:rPr>
        <w:t xml:space="preserve">also </w:t>
      </w:r>
      <w:r w:rsidRPr="00235450">
        <w:rPr>
          <w:b/>
          <w:lang w:val="en-GB"/>
        </w:rPr>
        <w:t>by digital means)</w:t>
      </w:r>
    </w:p>
    <w:p w14:paraId="430A5D77" w14:textId="596A23AB" w:rsidR="00610E4B" w:rsidRPr="00235450" w:rsidRDefault="006C5891" w:rsidP="00F1333D">
      <w:pPr>
        <w:numPr>
          <w:ilvl w:val="0"/>
          <w:numId w:val="10"/>
        </w:numPr>
        <w:contextualSpacing/>
      </w:pPr>
      <w:r w:rsidRPr="00235450">
        <w:t>The s</w:t>
      </w:r>
      <w:r w:rsidR="00610E4B" w:rsidRPr="00235450">
        <w:t xml:space="preserve">tudent can take an </w:t>
      </w:r>
      <w:r w:rsidRPr="00235450">
        <w:t xml:space="preserve">interim </w:t>
      </w:r>
      <w:r w:rsidR="00610E4B" w:rsidRPr="00235450">
        <w:t>e</w:t>
      </w:r>
      <w:r w:rsidR="008C4E57" w:rsidRPr="00235450">
        <w:t xml:space="preserve">xamination </w:t>
      </w:r>
      <w:r w:rsidR="0041318D" w:rsidRPr="00235450">
        <w:t xml:space="preserve">or a </w:t>
      </w:r>
      <w:r w:rsidR="00C93E69" w:rsidRPr="00235450">
        <w:t>resit</w:t>
      </w:r>
      <w:r w:rsidR="0041318D" w:rsidRPr="00235450">
        <w:t xml:space="preserve"> </w:t>
      </w:r>
      <w:r w:rsidR="008C4E57" w:rsidRPr="00235450">
        <w:t xml:space="preserve">for a </w:t>
      </w:r>
      <w:r w:rsidR="00211779" w:rsidRPr="00235450">
        <w:t xml:space="preserve">course </w:t>
      </w:r>
      <w:r w:rsidR="008C4E57" w:rsidRPr="00235450">
        <w:t xml:space="preserve">in the </w:t>
      </w:r>
      <w:r w:rsidR="00321014" w:rsidRPr="00235450">
        <w:t xml:space="preserve">education period </w:t>
      </w:r>
      <w:r w:rsidR="00610E4B" w:rsidRPr="00235450">
        <w:t xml:space="preserve">in which the particular </w:t>
      </w:r>
      <w:r w:rsidR="00211779" w:rsidRPr="00235450">
        <w:t xml:space="preserve">course </w:t>
      </w:r>
      <w:r w:rsidR="00610E4B" w:rsidRPr="00235450">
        <w:t xml:space="preserve">is given. </w:t>
      </w:r>
    </w:p>
    <w:p w14:paraId="7FB06D20" w14:textId="13B5DFF6" w:rsidR="002C6109" w:rsidRPr="00235450" w:rsidRDefault="002C6109" w:rsidP="00F1333D">
      <w:pPr>
        <w:numPr>
          <w:ilvl w:val="0"/>
          <w:numId w:val="10"/>
        </w:numPr>
        <w:contextualSpacing/>
      </w:pPr>
      <w:r w:rsidRPr="00235450">
        <w:t xml:space="preserve">In addition to the foregoing </w:t>
      </w:r>
      <w:r w:rsidR="006C5891" w:rsidRPr="00235450">
        <w:t xml:space="preserve">the </w:t>
      </w:r>
      <w:r w:rsidRPr="00235450">
        <w:t xml:space="preserve">student can also take examinations in the </w:t>
      </w:r>
      <w:r w:rsidR="00C93E69" w:rsidRPr="00235450">
        <w:t>resit</w:t>
      </w:r>
      <w:r w:rsidRPr="00235450">
        <w:t xml:space="preserve"> period </w:t>
      </w:r>
      <w:r w:rsidR="00072E29" w:rsidRPr="00235450">
        <w:t>as indicated in the year calendar of MWT</w:t>
      </w:r>
      <w:r w:rsidR="00FF1753" w:rsidRPr="00235450">
        <w:t xml:space="preserve"> and/or the interim exam</w:t>
      </w:r>
      <w:r w:rsidR="0096255F" w:rsidRPr="00235450">
        <w:t>ination period after the education period of the next academic year,</w:t>
      </w:r>
      <w:r w:rsidR="00B75E6F" w:rsidRPr="00235450">
        <w:t xml:space="preserve"> </w:t>
      </w:r>
      <w:r w:rsidR="0096255F" w:rsidRPr="00235450">
        <w:t>in which t</w:t>
      </w:r>
      <w:r w:rsidR="00B75E6F" w:rsidRPr="00235450">
        <w:t>h</w:t>
      </w:r>
      <w:r w:rsidR="0096255F" w:rsidRPr="00235450">
        <w:t>e course is given.</w:t>
      </w:r>
      <w:r w:rsidR="00072E29" w:rsidRPr="00235450">
        <w:t xml:space="preserve"> </w:t>
      </w:r>
    </w:p>
    <w:p w14:paraId="4C59542B" w14:textId="15E8A7BB" w:rsidR="00926F20" w:rsidRPr="00235450" w:rsidRDefault="00926F20" w:rsidP="00F1333D">
      <w:pPr>
        <w:numPr>
          <w:ilvl w:val="0"/>
          <w:numId w:val="10"/>
        </w:numPr>
        <w:contextualSpacing/>
      </w:pPr>
      <w:r w:rsidRPr="00235450">
        <w:t xml:space="preserve">Interim examinations and </w:t>
      </w:r>
      <w:r w:rsidR="00C93E69" w:rsidRPr="00235450">
        <w:t>resit</w:t>
      </w:r>
      <w:r w:rsidRPr="00235450">
        <w:t>s can be scheduled in the evening (6:30-9:30 p.m.)</w:t>
      </w:r>
      <w:r w:rsidR="00E43216" w:rsidRPr="00235450">
        <w:t>.</w:t>
      </w:r>
      <w:r w:rsidRPr="00235450">
        <w:t xml:space="preserve"> In general, scheduling of interim examinations in the evening hours will be kept to a minimum.</w:t>
      </w:r>
    </w:p>
    <w:p w14:paraId="19FEC63F" w14:textId="77777777" w:rsidR="00926F20" w:rsidRPr="00235450" w:rsidRDefault="00926F20" w:rsidP="00F1333D">
      <w:pPr>
        <w:numPr>
          <w:ilvl w:val="0"/>
          <w:numId w:val="10"/>
        </w:numPr>
        <w:contextualSpacing/>
      </w:pPr>
      <w:r w:rsidRPr="00235450">
        <w:t>On one day no more than two interim examinations from courses out of the prescribed component of the programme (compulsory and restricted optional courses) shall be scheduled.</w:t>
      </w:r>
    </w:p>
    <w:p w14:paraId="2BA5E3E3" w14:textId="02E51550" w:rsidR="00926F20" w:rsidRPr="00235450" w:rsidRDefault="00DA1B6A" w:rsidP="00F1333D">
      <w:pPr>
        <w:numPr>
          <w:ilvl w:val="0"/>
          <w:numId w:val="10"/>
        </w:numPr>
        <w:contextualSpacing/>
      </w:pPr>
      <w:r w:rsidRPr="00235450">
        <w:t xml:space="preserve">For online courses that are not scheduled in a specific education period, an interim examination can be scheduled at from regular interim examinations differing moments. For these courses, the student will have at least two opportunities to take an interim examination or </w:t>
      </w:r>
      <w:r w:rsidR="00C93E69" w:rsidRPr="00235450">
        <w:t>resit</w:t>
      </w:r>
      <w:r w:rsidRPr="00235450">
        <w:t xml:space="preserve"> in </w:t>
      </w:r>
      <w:r w:rsidR="00A2048C">
        <w:t>a period of 13 months</w:t>
      </w:r>
      <w:r w:rsidRPr="00235450">
        <w:t>.</w:t>
      </w:r>
    </w:p>
    <w:p w14:paraId="6B4DB8F8" w14:textId="48AC4A23" w:rsidR="00C009B3" w:rsidRPr="00235450" w:rsidRDefault="00C009B3" w:rsidP="00F1333D">
      <w:pPr>
        <w:numPr>
          <w:ilvl w:val="0"/>
          <w:numId w:val="10"/>
        </w:numPr>
        <w:contextualSpacing/>
      </w:pPr>
      <w:r w:rsidRPr="00235450">
        <w:t xml:space="preserve">Online interim examinations </w:t>
      </w:r>
      <w:r w:rsidR="00B645A4" w:rsidRPr="00235450">
        <w:t>s</w:t>
      </w:r>
      <w:r w:rsidRPr="00235450">
        <w:t xml:space="preserve">hould always be </w:t>
      </w:r>
      <w:r w:rsidR="006C5891" w:rsidRPr="00235450">
        <w:t>organized</w:t>
      </w:r>
      <w:r w:rsidRPr="00235450">
        <w:t xml:space="preserve"> in such a way that the identity of the student </w:t>
      </w:r>
      <w:r w:rsidR="006C5891" w:rsidRPr="00235450">
        <w:t>can be ascertained</w:t>
      </w:r>
      <w:r w:rsidRPr="00235450">
        <w:t xml:space="preserve"> and circumstances under which t</w:t>
      </w:r>
      <w:r w:rsidR="00E43216" w:rsidRPr="00235450">
        <w:t>h</w:t>
      </w:r>
      <w:r w:rsidRPr="00235450">
        <w:t xml:space="preserve">e examinations are taken </w:t>
      </w:r>
      <w:r w:rsidR="006C5891" w:rsidRPr="00235450">
        <w:t>can be verified</w:t>
      </w:r>
      <w:r w:rsidRPr="00235450">
        <w:t>.</w:t>
      </w:r>
      <w:r w:rsidR="006C5891" w:rsidRPr="00235450">
        <w:t xml:space="preserve"> In the Rules and Regulations procedural rules on online proctoring are outlined.</w:t>
      </w:r>
    </w:p>
    <w:p w14:paraId="0FD22D55" w14:textId="77777777" w:rsidR="002C6109" w:rsidRPr="00235450" w:rsidRDefault="002C6109" w:rsidP="00A76CEF"/>
    <w:p w14:paraId="0D21CB75" w14:textId="77777777" w:rsidR="002C6109" w:rsidRPr="00235450" w:rsidRDefault="002C6109" w:rsidP="00A76CEF">
      <w:pPr>
        <w:pStyle w:val="Artikel"/>
        <w:rPr>
          <w:b/>
          <w:lang w:val="en-GB"/>
        </w:rPr>
      </w:pPr>
      <w:r w:rsidRPr="00235450">
        <w:rPr>
          <w:b/>
          <w:lang w:val="en-GB"/>
        </w:rPr>
        <w:t xml:space="preserve">Oral </w:t>
      </w:r>
      <w:r w:rsidR="00557317" w:rsidRPr="00235450">
        <w:rPr>
          <w:b/>
          <w:lang w:val="en-GB"/>
        </w:rPr>
        <w:t xml:space="preserve">interim </w:t>
      </w:r>
      <w:r w:rsidRPr="00235450">
        <w:rPr>
          <w:b/>
          <w:lang w:val="en-GB"/>
        </w:rPr>
        <w:t>examinations</w:t>
      </w:r>
    </w:p>
    <w:p w14:paraId="6486F61B" w14:textId="77777777" w:rsidR="002C6109" w:rsidRPr="00235450" w:rsidRDefault="002C6109" w:rsidP="00F1333D">
      <w:pPr>
        <w:numPr>
          <w:ilvl w:val="0"/>
          <w:numId w:val="11"/>
        </w:numPr>
        <w:contextualSpacing/>
      </w:pPr>
      <w:r w:rsidRPr="00235450">
        <w:t xml:space="preserve">An </w:t>
      </w:r>
      <w:r w:rsidR="00AC4D3F" w:rsidRPr="00235450">
        <w:t xml:space="preserve">interim </w:t>
      </w:r>
      <w:r w:rsidRPr="00235450">
        <w:t xml:space="preserve">examination will be taken orally </w:t>
      </w:r>
      <w:r w:rsidR="00271F49" w:rsidRPr="00235450">
        <w:t>if</w:t>
      </w:r>
      <w:r w:rsidRPr="00235450">
        <w:t xml:space="preserve"> such is determined in the Study Handbook for the particular </w:t>
      </w:r>
      <w:r w:rsidR="00211779" w:rsidRPr="00235450">
        <w:t xml:space="preserve">course </w:t>
      </w:r>
      <w:r w:rsidR="00A33BBF" w:rsidRPr="00235450">
        <w:t xml:space="preserve">or if so determined by the </w:t>
      </w:r>
      <w:r w:rsidR="00232654" w:rsidRPr="00235450">
        <w:t xml:space="preserve">Examining </w:t>
      </w:r>
      <w:r w:rsidR="00A33BBF" w:rsidRPr="00235450">
        <w:t>Board</w:t>
      </w:r>
      <w:r w:rsidRPr="00235450">
        <w:t xml:space="preserve">. </w:t>
      </w:r>
    </w:p>
    <w:p w14:paraId="289C6943" w14:textId="4F1FBEEE" w:rsidR="00AC4D3F" w:rsidRPr="00235450" w:rsidRDefault="00AC4D3F" w:rsidP="00F1333D">
      <w:pPr>
        <w:numPr>
          <w:ilvl w:val="0"/>
          <w:numId w:val="11"/>
        </w:numPr>
        <w:contextualSpacing/>
      </w:pPr>
      <w:r w:rsidRPr="00235450">
        <w:t xml:space="preserve">The oral interim examination will be taken by two </w:t>
      </w:r>
      <w:r w:rsidR="00741D31" w:rsidRPr="00235450">
        <w:t xml:space="preserve">academic </w:t>
      </w:r>
      <w:r w:rsidR="00344855" w:rsidRPr="00235450">
        <w:t>staff members</w:t>
      </w:r>
      <w:r w:rsidR="000C3D2B" w:rsidRPr="00235450">
        <w:t xml:space="preserve"> </w:t>
      </w:r>
      <w:r w:rsidR="00DA1B6A" w:rsidRPr="00235450">
        <w:t xml:space="preserve">one </w:t>
      </w:r>
      <w:r w:rsidR="000C3D2B" w:rsidRPr="00235450">
        <w:t>of wh</w:t>
      </w:r>
      <w:r w:rsidR="002E240C" w:rsidRPr="00235450">
        <w:t>ich is the</w:t>
      </w:r>
      <w:r w:rsidR="000C3D2B" w:rsidRPr="00235450">
        <w:t xml:space="preserve"> </w:t>
      </w:r>
      <w:r w:rsidRPr="00235450">
        <w:t>examiner.</w:t>
      </w:r>
    </w:p>
    <w:p w14:paraId="137F080F" w14:textId="77777777" w:rsidR="002C6109" w:rsidRPr="00235450" w:rsidRDefault="002C6109" w:rsidP="00F1333D">
      <w:pPr>
        <w:numPr>
          <w:ilvl w:val="0"/>
          <w:numId w:val="11"/>
        </w:numPr>
        <w:contextualSpacing/>
      </w:pPr>
      <w:r w:rsidRPr="00235450">
        <w:lastRenderedPageBreak/>
        <w:t>Oral</w:t>
      </w:r>
      <w:r w:rsidR="00AC4D3F" w:rsidRPr="00235450">
        <w:t xml:space="preserve"> interim</w:t>
      </w:r>
      <w:r w:rsidRPr="00235450">
        <w:t xml:space="preserve"> examinations are open to the public, unless, in special circumstances, the </w:t>
      </w:r>
      <w:r w:rsidR="00232654" w:rsidRPr="00235450">
        <w:t xml:space="preserve">Examining </w:t>
      </w:r>
      <w:r w:rsidRPr="00235450">
        <w:t>Board determine</w:t>
      </w:r>
      <w:r w:rsidR="00271F49" w:rsidRPr="00235450">
        <w:t>s</w:t>
      </w:r>
      <w:r w:rsidRPr="00235450">
        <w:t xml:space="preserve"> otherwise.</w:t>
      </w:r>
    </w:p>
    <w:p w14:paraId="0B64DD54" w14:textId="77777777" w:rsidR="002C6109" w:rsidRPr="00235450" w:rsidRDefault="002C6109" w:rsidP="00F1333D">
      <w:pPr>
        <w:numPr>
          <w:ilvl w:val="0"/>
          <w:numId w:val="11"/>
        </w:numPr>
        <w:contextualSpacing/>
      </w:pPr>
      <w:r w:rsidRPr="00235450">
        <w:t xml:space="preserve">The examiner(s) and the student decide among themselves </w:t>
      </w:r>
      <w:r w:rsidR="00A33BBF" w:rsidRPr="00235450">
        <w:t>the date and time on which</w:t>
      </w:r>
      <w:r w:rsidRPr="00235450">
        <w:t xml:space="preserve"> the oral examination </w:t>
      </w:r>
      <w:r w:rsidR="00A33BBF" w:rsidRPr="00235450">
        <w:t>shall</w:t>
      </w:r>
      <w:r w:rsidRPr="00235450">
        <w:t xml:space="preserve"> be taken or re-s</w:t>
      </w:r>
      <w:r w:rsidR="00AC4D3F" w:rsidRPr="00235450">
        <w:t>a</w:t>
      </w:r>
      <w:r w:rsidRPr="00235450">
        <w:t>t.</w:t>
      </w:r>
    </w:p>
    <w:p w14:paraId="378B83A2" w14:textId="3B80CEAB" w:rsidR="00C009B3" w:rsidRPr="00235450" w:rsidRDefault="00C009B3" w:rsidP="00F1333D">
      <w:pPr>
        <w:numPr>
          <w:ilvl w:val="0"/>
          <w:numId w:val="11"/>
        </w:numPr>
        <w:contextualSpacing/>
      </w:pPr>
      <w:r w:rsidRPr="00235450">
        <w:t>An online oral interim examination consists of an online conversation. It</w:t>
      </w:r>
      <w:r w:rsidR="00DA3796" w:rsidRPr="00235450">
        <w:t xml:space="preserve"> will not be taken in public, bu</w:t>
      </w:r>
      <w:r w:rsidRPr="00235450">
        <w:t>t must be r</w:t>
      </w:r>
      <w:r w:rsidR="00281204" w:rsidRPr="00235450">
        <w:t>e</w:t>
      </w:r>
      <w:r w:rsidRPr="00235450">
        <w:t xml:space="preserve">corded and filed by the examiner and or the </w:t>
      </w:r>
      <w:r w:rsidR="00DE6EFC" w:rsidRPr="00235450">
        <w:t>E</w:t>
      </w:r>
      <w:r w:rsidRPr="00235450">
        <w:t xml:space="preserve">xamining </w:t>
      </w:r>
      <w:r w:rsidR="00DE6EFC" w:rsidRPr="00235450">
        <w:t>B</w:t>
      </w:r>
      <w:r w:rsidRPr="00235450">
        <w:t>oard in conformity with the retention period prescribed for written interim examinations.</w:t>
      </w:r>
    </w:p>
    <w:p w14:paraId="7E45A674" w14:textId="77777777" w:rsidR="002C6109" w:rsidRPr="00235450" w:rsidRDefault="002C6109" w:rsidP="00F03649">
      <w:pPr>
        <w:contextualSpacing/>
      </w:pPr>
    </w:p>
    <w:p w14:paraId="510FB0B8" w14:textId="77777777" w:rsidR="000C3D2B" w:rsidRPr="00235450" w:rsidRDefault="000C3D2B" w:rsidP="00D74BDC">
      <w:pPr>
        <w:pStyle w:val="Artikel"/>
        <w:rPr>
          <w:b/>
        </w:rPr>
      </w:pPr>
      <w:r w:rsidRPr="00235450">
        <w:rPr>
          <w:b/>
        </w:rPr>
        <w:t>Internships and theses</w:t>
      </w:r>
    </w:p>
    <w:p w14:paraId="61FB50FE" w14:textId="578541CC" w:rsidR="000C3D2B" w:rsidRPr="00235450" w:rsidRDefault="00FA2C2E" w:rsidP="005A17AA">
      <w:r w:rsidRPr="00235450">
        <w:t>In the Study Handbook and/</w:t>
      </w:r>
      <w:r w:rsidR="000C3D2B" w:rsidRPr="00235450">
        <w:t xml:space="preserve">or the course guide the way internships and theses will be assessed will be specified. </w:t>
      </w:r>
      <w:r w:rsidR="004D1CE1" w:rsidRPr="00235450">
        <w:t>T</w:t>
      </w:r>
      <w:r w:rsidR="000C3D2B" w:rsidRPr="00235450">
        <w:t xml:space="preserve">he assessment </w:t>
      </w:r>
      <w:r w:rsidR="00C009B3" w:rsidRPr="00235450">
        <w:t xml:space="preserve">of theses </w:t>
      </w:r>
      <w:r w:rsidR="000C3D2B" w:rsidRPr="00235450">
        <w:t>will</w:t>
      </w:r>
      <w:r w:rsidR="002E240C" w:rsidRPr="00235450">
        <w:t xml:space="preserve"> be executed by </w:t>
      </w:r>
      <w:r w:rsidR="004D1CE1" w:rsidRPr="00235450">
        <w:t xml:space="preserve">at least </w:t>
      </w:r>
      <w:r w:rsidR="002E240C" w:rsidRPr="00235450">
        <w:t xml:space="preserve">two </w:t>
      </w:r>
      <w:r w:rsidR="00741D31" w:rsidRPr="00235450">
        <w:t xml:space="preserve">academic </w:t>
      </w:r>
      <w:r w:rsidR="00344855" w:rsidRPr="00235450">
        <w:t>staff members</w:t>
      </w:r>
      <w:r w:rsidR="002E240C" w:rsidRPr="00235450">
        <w:t xml:space="preserve"> </w:t>
      </w:r>
      <w:r w:rsidR="002E2D34" w:rsidRPr="00235450">
        <w:t xml:space="preserve">one </w:t>
      </w:r>
      <w:r w:rsidR="002E240C" w:rsidRPr="00235450">
        <w:t>of which</w:t>
      </w:r>
      <w:r w:rsidR="000C3D2B" w:rsidRPr="00235450">
        <w:t xml:space="preserve"> is </w:t>
      </w:r>
      <w:r w:rsidR="00281204" w:rsidRPr="00235450">
        <w:t xml:space="preserve">the </w:t>
      </w:r>
      <w:r w:rsidR="000C3D2B" w:rsidRPr="00235450">
        <w:t>examiner</w:t>
      </w:r>
      <w:r w:rsidR="00C009B3" w:rsidRPr="00235450">
        <w:t xml:space="preserve"> while the assessment of internships will be executed by two persons working at an academic level, one of which is the examiner</w:t>
      </w:r>
      <w:r w:rsidR="000C3D2B" w:rsidRPr="00235450">
        <w:t>.</w:t>
      </w:r>
    </w:p>
    <w:p w14:paraId="4DB44BC7" w14:textId="77777777" w:rsidR="005A17AA" w:rsidRPr="00235450" w:rsidRDefault="005A17AA" w:rsidP="005A17AA">
      <w:pPr>
        <w:pStyle w:val="Lijstalinea"/>
      </w:pPr>
    </w:p>
    <w:p w14:paraId="3645FE55" w14:textId="50DD7B45" w:rsidR="002C6109" w:rsidRPr="00235450" w:rsidRDefault="00A2048C" w:rsidP="00232654">
      <w:pPr>
        <w:pStyle w:val="Artikel"/>
        <w:rPr>
          <w:b/>
          <w:lang w:val="en-GB"/>
        </w:rPr>
      </w:pPr>
      <w:r>
        <w:rPr>
          <w:b/>
          <w:lang w:val="en-GB"/>
        </w:rPr>
        <w:t>R</w:t>
      </w:r>
      <w:r w:rsidR="002C6109" w:rsidRPr="00235450">
        <w:rPr>
          <w:b/>
          <w:lang w:val="en-GB"/>
        </w:rPr>
        <w:t xml:space="preserve">equest for another </w:t>
      </w:r>
      <w:r w:rsidR="00557317" w:rsidRPr="00235450">
        <w:rPr>
          <w:b/>
          <w:lang w:val="en-GB"/>
        </w:rPr>
        <w:t xml:space="preserve">type </w:t>
      </w:r>
      <w:r w:rsidR="00B76572" w:rsidRPr="00235450">
        <w:rPr>
          <w:b/>
          <w:lang w:val="en-GB"/>
        </w:rPr>
        <w:t xml:space="preserve">or time </w:t>
      </w:r>
      <w:r w:rsidR="00271F49" w:rsidRPr="00235450">
        <w:rPr>
          <w:b/>
          <w:lang w:val="en-GB"/>
        </w:rPr>
        <w:t>of examination</w:t>
      </w:r>
    </w:p>
    <w:p w14:paraId="363AE363" w14:textId="77777777" w:rsidR="002C6109" w:rsidRPr="00235450" w:rsidRDefault="00271F49" w:rsidP="002C6109">
      <w:r w:rsidRPr="00235450">
        <w:t xml:space="preserve">In </w:t>
      </w:r>
      <w:r w:rsidR="00F54812" w:rsidRPr="00235450">
        <w:t>exceptional</w:t>
      </w:r>
      <w:r w:rsidRPr="00235450">
        <w:t xml:space="preserve"> circumstances and by request of the student, t</w:t>
      </w:r>
      <w:r w:rsidR="002C6109" w:rsidRPr="00235450">
        <w:t xml:space="preserve">he </w:t>
      </w:r>
      <w:r w:rsidR="00213FA2" w:rsidRPr="00235450">
        <w:t>Examining Board</w:t>
      </w:r>
      <w:r w:rsidR="002C6109" w:rsidRPr="00235450">
        <w:t xml:space="preserve"> </w:t>
      </w:r>
      <w:r w:rsidR="00FD6AB3" w:rsidRPr="00235450">
        <w:t>can decide to deviate fro</w:t>
      </w:r>
      <w:r w:rsidRPr="00235450">
        <w:t xml:space="preserve">m the examination </w:t>
      </w:r>
      <w:r w:rsidR="00557317" w:rsidRPr="00235450">
        <w:t xml:space="preserve">type </w:t>
      </w:r>
      <w:r w:rsidRPr="00235450">
        <w:t>and/or</w:t>
      </w:r>
      <w:r w:rsidR="00FD6AB3" w:rsidRPr="00235450">
        <w:t xml:space="preserve"> </w:t>
      </w:r>
      <w:r w:rsidRPr="00235450">
        <w:t xml:space="preserve">the time of examination should the student be unable to take the </w:t>
      </w:r>
      <w:r w:rsidR="00557317" w:rsidRPr="00235450">
        <w:t xml:space="preserve">prescribed type of </w:t>
      </w:r>
      <w:r w:rsidRPr="00235450">
        <w:t xml:space="preserve">examination </w:t>
      </w:r>
      <w:r w:rsidR="00557317" w:rsidRPr="00235450">
        <w:t xml:space="preserve">or take the examination at the </w:t>
      </w:r>
      <w:r w:rsidRPr="00235450">
        <w:t xml:space="preserve">prescribed </w:t>
      </w:r>
      <w:r w:rsidR="00557317" w:rsidRPr="00235450">
        <w:t>time</w:t>
      </w:r>
      <w:r w:rsidRPr="00235450">
        <w:t xml:space="preserve">. </w:t>
      </w:r>
    </w:p>
    <w:p w14:paraId="0C323079" w14:textId="77777777" w:rsidR="00F54812" w:rsidRPr="00235450" w:rsidRDefault="00F54812" w:rsidP="002C6109"/>
    <w:p w14:paraId="7C7A4DD2" w14:textId="18A716AA" w:rsidR="00271F49" w:rsidRPr="00235450" w:rsidRDefault="00733214" w:rsidP="00675665">
      <w:pPr>
        <w:pStyle w:val="Kop2"/>
      </w:pPr>
      <w:bookmarkStart w:id="23" w:name="_Toc385260781"/>
      <w:bookmarkStart w:id="24" w:name="_Toc54257554"/>
      <w:r w:rsidRPr="00235450">
        <w:t>Section</w:t>
      </w:r>
      <w:r w:rsidR="00BB1FC6" w:rsidRPr="00235450">
        <w:t xml:space="preserve"> </w:t>
      </w:r>
      <w:r w:rsidR="00271F49" w:rsidRPr="00235450">
        <w:t>4</w:t>
      </w:r>
      <w:r w:rsidR="00271F49" w:rsidRPr="00235450">
        <w:tab/>
      </w:r>
      <w:bookmarkEnd w:id="23"/>
      <w:r w:rsidR="00DA1B6A" w:rsidRPr="00235450">
        <w:t>A</w:t>
      </w:r>
      <w:r w:rsidR="00557317" w:rsidRPr="00235450">
        <w:t>ssessing</w:t>
      </w:r>
      <w:r w:rsidR="00BB1FC6" w:rsidRPr="00235450">
        <w:t>, determining and announcing results</w:t>
      </w:r>
      <w:bookmarkEnd w:id="24"/>
      <w:r w:rsidR="00BB1FC6" w:rsidRPr="00235450">
        <w:br/>
      </w:r>
    </w:p>
    <w:p w14:paraId="7B087682" w14:textId="77777777" w:rsidR="00271F49" w:rsidRPr="00235450" w:rsidRDefault="00675665" w:rsidP="00675665">
      <w:pPr>
        <w:pStyle w:val="Artikel"/>
        <w:rPr>
          <w:b/>
          <w:lang w:val="en-GB"/>
        </w:rPr>
      </w:pPr>
      <w:r w:rsidRPr="00235450">
        <w:rPr>
          <w:b/>
          <w:lang w:val="en-GB"/>
        </w:rPr>
        <w:t xml:space="preserve">Assessment </w:t>
      </w:r>
      <w:r w:rsidR="005D381F" w:rsidRPr="00235450">
        <w:rPr>
          <w:b/>
          <w:lang w:val="en-GB"/>
        </w:rPr>
        <w:t xml:space="preserve">of </w:t>
      </w:r>
      <w:r w:rsidR="00733214" w:rsidRPr="00235450">
        <w:rPr>
          <w:b/>
          <w:lang w:val="en-GB"/>
        </w:rPr>
        <w:t xml:space="preserve">interim </w:t>
      </w:r>
      <w:r w:rsidR="005D381F" w:rsidRPr="00235450">
        <w:rPr>
          <w:b/>
          <w:lang w:val="en-GB"/>
        </w:rPr>
        <w:t>examinations</w:t>
      </w:r>
      <w:r w:rsidR="00271F49" w:rsidRPr="00235450">
        <w:rPr>
          <w:b/>
          <w:lang w:val="en-GB"/>
        </w:rPr>
        <w:t xml:space="preserve"> </w:t>
      </w:r>
    </w:p>
    <w:p w14:paraId="0EB757C9" w14:textId="0FEC7FE5" w:rsidR="005D381F" w:rsidRPr="00235450" w:rsidRDefault="00DA1B6A" w:rsidP="00F1333D">
      <w:pPr>
        <w:numPr>
          <w:ilvl w:val="0"/>
          <w:numId w:val="12"/>
        </w:numPr>
        <w:contextualSpacing/>
      </w:pPr>
      <w:r w:rsidRPr="00235450">
        <w:t>I</w:t>
      </w:r>
      <w:r w:rsidR="00733214" w:rsidRPr="00235450">
        <w:t xml:space="preserve">nterim </w:t>
      </w:r>
      <w:r w:rsidR="005D381F" w:rsidRPr="00235450">
        <w:t xml:space="preserve">examinations </w:t>
      </w:r>
      <w:r w:rsidR="009021EB" w:rsidRPr="00235450">
        <w:t xml:space="preserve">are </w:t>
      </w:r>
      <w:r w:rsidRPr="00235450">
        <w:t xml:space="preserve">assessed by numerical </w:t>
      </w:r>
      <w:r w:rsidR="007E2241" w:rsidRPr="00235450">
        <w:t>mark</w:t>
      </w:r>
      <w:r w:rsidRPr="00235450">
        <w:t>s</w:t>
      </w:r>
      <w:r w:rsidR="007E2241" w:rsidRPr="00235450">
        <w:t xml:space="preserve"> </w:t>
      </w:r>
      <w:r w:rsidR="00B11168" w:rsidRPr="00235450">
        <w:t xml:space="preserve">on a </w:t>
      </w:r>
      <w:r w:rsidR="009021EB" w:rsidRPr="00235450">
        <w:t xml:space="preserve">scale </w:t>
      </w:r>
      <w:r w:rsidR="007E2241" w:rsidRPr="00235450">
        <w:t xml:space="preserve">from </w:t>
      </w:r>
      <w:r w:rsidR="009021EB" w:rsidRPr="00235450">
        <w:t xml:space="preserve">1 to 10. </w:t>
      </w:r>
      <w:r w:rsidR="00B11168" w:rsidRPr="00235450">
        <w:t>In order to pass an</w:t>
      </w:r>
      <w:r w:rsidR="000C76B3" w:rsidRPr="00235450">
        <w:t xml:space="preserve"> </w:t>
      </w:r>
      <w:r w:rsidR="00B11168" w:rsidRPr="00235450">
        <w:t>exam</w:t>
      </w:r>
      <w:r w:rsidR="003F6444" w:rsidRPr="00235450">
        <w:t>ination</w:t>
      </w:r>
      <w:r w:rsidR="000C76B3" w:rsidRPr="00235450">
        <w:t>,</w:t>
      </w:r>
      <w:r w:rsidR="009021EB" w:rsidRPr="00235450">
        <w:t xml:space="preserve"> </w:t>
      </w:r>
      <w:r w:rsidRPr="00235450">
        <w:t xml:space="preserve">the </w:t>
      </w:r>
      <w:r w:rsidR="00B11168" w:rsidRPr="00235450">
        <w:t>student</w:t>
      </w:r>
      <w:r w:rsidR="007E2241" w:rsidRPr="00235450">
        <w:t xml:space="preserve"> </w:t>
      </w:r>
      <w:r w:rsidR="00B11168" w:rsidRPr="00235450">
        <w:t>must achieve a mark of 6 or higher</w:t>
      </w:r>
      <w:r w:rsidR="005D381F" w:rsidRPr="00235450">
        <w:t>. Marks lower than 6 are round</w:t>
      </w:r>
      <w:r w:rsidR="00B11168" w:rsidRPr="00235450">
        <w:t>ed off to</w:t>
      </w:r>
      <w:r w:rsidR="005D381F" w:rsidRPr="00235450">
        <w:t xml:space="preserve"> whole marks, marks of </w:t>
      </w:r>
      <w:r w:rsidR="00B11168" w:rsidRPr="00235450">
        <w:t xml:space="preserve">6 and </w:t>
      </w:r>
      <w:r w:rsidR="007E2241" w:rsidRPr="00235450">
        <w:t xml:space="preserve">above </w:t>
      </w:r>
      <w:r w:rsidR="00B11168" w:rsidRPr="00235450">
        <w:t>are rounded off to</w:t>
      </w:r>
      <w:r w:rsidR="005D381F" w:rsidRPr="00235450">
        <w:t xml:space="preserve"> half marks. </w:t>
      </w:r>
    </w:p>
    <w:p w14:paraId="2AAF658E" w14:textId="12DE1710" w:rsidR="005D381F" w:rsidRPr="00235450" w:rsidRDefault="005D381F" w:rsidP="00F1333D">
      <w:pPr>
        <w:numPr>
          <w:ilvl w:val="0"/>
          <w:numId w:val="12"/>
        </w:numPr>
        <w:contextualSpacing/>
      </w:pPr>
      <w:r w:rsidRPr="00235450">
        <w:t xml:space="preserve">In the case of </w:t>
      </w:r>
      <w:r w:rsidR="00E30DCC" w:rsidRPr="00235450">
        <w:t xml:space="preserve">a </w:t>
      </w:r>
      <w:r w:rsidR="00675665" w:rsidRPr="00235450">
        <w:t xml:space="preserve">partial </w:t>
      </w:r>
      <w:r w:rsidR="00733214" w:rsidRPr="00235450">
        <w:t xml:space="preserve">interim </w:t>
      </w:r>
      <w:r w:rsidRPr="00235450">
        <w:t>exam</w:t>
      </w:r>
      <w:r w:rsidR="00733214" w:rsidRPr="00235450">
        <w:t>ination</w:t>
      </w:r>
      <w:r w:rsidRPr="00235450">
        <w:t>, the examiner may award a pass/fail</w:t>
      </w:r>
      <w:r w:rsidR="00B76572" w:rsidRPr="00235450">
        <w:t xml:space="preserve"> </w:t>
      </w:r>
      <w:r w:rsidR="007E2241" w:rsidRPr="00235450">
        <w:t xml:space="preserve">assessment </w:t>
      </w:r>
      <w:r w:rsidRPr="00235450">
        <w:t xml:space="preserve">instead of a </w:t>
      </w:r>
      <w:r w:rsidR="00B76572" w:rsidRPr="00235450">
        <w:t xml:space="preserve">numeric </w:t>
      </w:r>
      <w:r w:rsidR="007E2241" w:rsidRPr="00235450">
        <w:t>mark</w:t>
      </w:r>
      <w:r w:rsidRPr="00235450">
        <w:t>. A</w:t>
      </w:r>
      <w:r w:rsidR="00DA1B6A" w:rsidRPr="00235450">
        <w:t xml:space="preserve"> final </w:t>
      </w:r>
      <w:r w:rsidRPr="00235450">
        <w:t xml:space="preserve"> </w:t>
      </w:r>
      <w:r w:rsidR="00B76572" w:rsidRPr="00235450">
        <w:t xml:space="preserve">pass/fail </w:t>
      </w:r>
      <w:r w:rsidR="007E2241" w:rsidRPr="00235450">
        <w:t xml:space="preserve">assessment for </w:t>
      </w:r>
      <w:r w:rsidR="00DA1B6A" w:rsidRPr="00235450">
        <w:t xml:space="preserve">a </w:t>
      </w:r>
      <w:r w:rsidR="007E2241" w:rsidRPr="00235450">
        <w:t xml:space="preserve">course is </w:t>
      </w:r>
      <w:r w:rsidR="00DA1B6A" w:rsidRPr="00235450">
        <w:t>allowed</w:t>
      </w:r>
      <w:r w:rsidR="007E2241" w:rsidRPr="00235450">
        <w:t xml:space="preserve"> only </w:t>
      </w:r>
      <w:r w:rsidR="00DA1B6A" w:rsidRPr="00235450">
        <w:t>with</w:t>
      </w:r>
      <w:r w:rsidRPr="00235450">
        <w:t xml:space="preserve"> consent </w:t>
      </w:r>
      <w:r w:rsidR="00DA1B6A" w:rsidRPr="00235450">
        <w:t>of</w:t>
      </w:r>
      <w:r w:rsidRPr="00235450">
        <w:t xml:space="preserve"> the </w:t>
      </w:r>
      <w:r w:rsidR="00675665" w:rsidRPr="00235450">
        <w:t xml:space="preserve">Examining </w:t>
      </w:r>
      <w:r w:rsidRPr="00235450">
        <w:t xml:space="preserve">Board. This is outlined per </w:t>
      </w:r>
      <w:r w:rsidR="00211779" w:rsidRPr="00235450">
        <w:t xml:space="preserve">course </w:t>
      </w:r>
      <w:r w:rsidRPr="00235450">
        <w:t xml:space="preserve">in the Study Handbook. </w:t>
      </w:r>
      <w:r w:rsidR="000C3D2B" w:rsidRPr="00235450">
        <w:t>A pass/fail assessment is not permitted for theses and internships.</w:t>
      </w:r>
    </w:p>
    <w:p w14:paraId="25D7C085" w14:textId="77777777" w:rsidR="00AA6463" w:rsidRPr="00235450" w:rsidRDefault="005D381F" w:rsidP="00F1333D">
      <w:pPr>
        <w:numPr>
          <w:ilvl w:val="0"/>
          <w:numId w:val="12"/>
        </w:numPr>
        <w:contextualSpacing/>
      </w:pPr>
      <w:r w:rsidRPr="00235450">
        <w:t xml:space="preserve">The </w:t>
      </w:r>
      <w:r w:rsidR="00681200" w:rsidRPr="00235450">
        <w:t xml:space="preserve">Rules and </w:t>
      </w:r>
      <w:r w:rsidR="00F16FDB" w:rsidRPr="00235450">
        <w:t>Regulations</w:t>
      </w:r>
      <w:r w:rsidRPr="00235450">
        <w:t xml:space="preserve"> prov</w:t>
      </w:r>
      <w:r w:rsidR="008C4E57" w:rsidRPr="00235450">
        <w:t xml:space="preserve">ide further information on the </w:t>
      </w:r>
      <w:r w:rsidR="00675665" w:rsidRPr="00235450">
        <w:t>assessment</w:t>
      </w:r>
      <w:r w:rsidR="007E2241" w:rsidRPr="00235450">
        <w:t xml:space="preserve"> methods </w:t>
      </w:r>
      <w:r w:rsidRPr="00235450">
        <w:t xml:space="preserve">and standards </w:t>
      </w:r>
      <w:r w:rsidR="007E2241" w:rsidRPr="00235450">
        <w:t xml:space="preserve">for interim </w:t>
      </w:r>
      <w:r w:rsidRPr="00235450">
        <w:t xml:space="preserve">examinations. </w:t>
      </w:r>
    </w:p>
    <w:p w14:paraId="6101702D" w14:textId="77777777" w:rsidR="00CD5EA9" w:rsidRPr="00235450" w:rsidRDefault="00CD5EA9" w:rsidP="00F03649">
      <w:pPr>
        <w:spacing w:line="240" w:lineRule="auto"/>
      </w:pPr>
    </w:p>
    <w:p w14:paraId="0F396197" w14:textId="350ADF91" w:rsidR="00264317" w:rsidRPr="00235450" w:rsidRDefault="00DA1B6A" w:rsidP="00675665">
      <w:pPr>
        <w:pStyle w:val="Artikel"/>
        <w:rPr>
          <w:b/>
          <w:lang w:val="en-GB"/>
        </w:rPr>
      </w:pPr>
      <w:r w:rsidRPr="00235450">
        <w:rPr>
          <w:b/>
          <w:lang w:val="en-GB"/>
        </w:rPr>
        <w:t>R</w:t>
      </w:r>
      <w:r w:rsidR="00CF65CA" w:rsidRPr="00235450">
        <w:rPr>
          <w:b/>
          <w:lang w:val="en-GB"/>
        </w:rPr>
        <w:t>esult</w:t>
      </w:r>
      <w:r w:rsidR="00264317" w:rsidRPr="00235450">
        <w:rPr>
          <w:b/>
          <w:lang w:val="en-GB"/>
        </w:rPr>
        <w:t xml:space="preserve">s and </w:t>
      </w:r>
      <w:r w:rsidR="00C46995" w:rsidRPr="00235450">
        <w:rPr>
          <w:b/>
          <w:lang w:val="en-GB"/>
        </w:rPr>
        <w:t>announcement of</w:t>
      </w:r>
      <w:r w:rsidR="00264317" w:rsidRPr="00235450">
        <w:rPr>
          <w:b/>
          <w:lang w:val="en-GB"/>
        </w:rPr>
        <w:t xml:space="preserve"> results </w:t>
      </w:r>
    </w:p>
    <w:p w14:paraId="27619F45" w14:textId="77777777" w:rsidR="00264317" w:rsidRPr="00235450" w:rsidRDefault="00CF65CA" w:rsidP="00F1333D">
      <w:pPr>
        <w:numPr>
          <w:ilvl w:val="0"/>
          <w:numId w:val="13"/>
        </w:numPr>
        <w:ind w:left="714" w:hanging="357"/>
        <w:contextualSpacing/>
      </w:pPr>
      <w:r w:rsidRPr="00235450">
        <w:t xml:space="preserve">The examiner determines the result of a written </w:t>
      </w:r>
      <w:r w:rsidR="00733214" w:rsidRPr="00235450">
        <w:t xml:space="preserve">interim </w:t>
      </w:r>
      <w:r w:rsidRPr="00235450">
        <w:t>examination within ten work</w:t>
      </w:r>
      <w:r w:rsidR="00C46995" w:rsidRPr="00235450">
        <w:t>ing</w:t>
      </w:r>
      <w:r w:rsidR="00075192" w:rsidRPr="00235450">
        <w:rPr>
          <w:rStyle w:val="Voetnootmarkering"/>
        </w:rPr>
        <w:footnoteReference w:id="2"/>
      </w:r>
      <w:r w:rsidR="00B76572" w:rsidRPr="00235450">
        <w:t xml:space="preserve"> days after the day on </w:t>
      </w:r>
      <w:r w:rsidRPr="00235450">
        <w:t>which</w:t>
      </w:r>
      <w:r w:rsidR="00B76572" w:rsidRPr="00235450">
        <w:t xml:space="preserve"> the</w:t>
      </w:r>
      <w:r w:rsidRPr="00235450">
        <w:t xml:space="preserve"> exam</w:t>
      </w:r>
      <w:r w:rsidR="00733214" w:rsidRPr="00235450">
        <w:t>ination</w:t>
      </w:r>
      <w:r w:rsidRPr="00235450">
        <w:t xml:space="preserve"> is taken. </w:t>
      </w:r>
    </w:p>
    <w:p w14:paraId="6727E37E" w14:textId="77777777" w:rsidR="00CF65CA" w:rsidRPr="00235450" w:rsidRDefault="00CF65CA" w:rsidP="00F1333D">
      <w:pPr>
        <w:numPr>
          <w:ilvl w:val="0"/>
          <w:numId w:val="13"/>
        </w:numPr>
        <w:contextualSpacing/>
      </w:pPr>
      <w:r w:rsidRPr="00235450">
        <w:t xml:space="preserve">The examiner determines the result of an oral </w:t>
      </w:r>
      <w:r w:rsidR="00733214" w:rsidRPr="00235450">
        <w:t xml:space="preserve">interim </w:t>
      </w:r>
      <w:r w:rsidRPr="00235450">
        <w:t xml:space="preserve">examination immediately after the examination is taken and provides the student with </w:t>
      </w:r>
      <w:r w:rsidR="00672D1E" w:rsidRPr="00235450">
        <w:t xml:space="preserve">the </w:t>
      </w:r>
      <w:r w:rsidRPr="00235450">
        <w:t>result</w:t>
      </w:r>
      <w:r w:rsidR="00672D1E" w:rsidRPr="00235450">
        <w:t xml:space="preserve"> in writing</w:t>
      </w:r>
      <w:r w:rsidRPr="00235450">
        <w:t xml:space="preserve">. </w:t>
      </w:r>
    </w:p>
    <w:p w14:paraId="004F5948" w14:textId="7D2F872D" w:rsidR="00C46995" w:rsidRPr="00235450" w:rsidRDefault="00DA1B6A" w:rsidP="00F1333D">
      <w:pPr>
        <w:numPr>
          <w:ilvl w:val="0"/>
          <w:numId w:val="13"/>
        </w:numPr>
        <w:contextualSpacing/>
      </w:pPr>
      <w:r w:rsidRPr="00235450">
        <w:t>In the case of</w:t>
      </w:r>
      <w:r w:rsidR="007E2241" w:rsidRPr="00235450">
        <w:t xml:space="preserve"> educational units</w:t>
      </w:r>
      <w:r w:rsidR="00534EBE" w:rsidRPr="00235450">
        <w:t xml:space="preserve"> </w:t>
      </w:r>
      <w:r w:rsidR="00CF65CA" w:rsidRPr="00235450">
        <w:t xml:space="preserve">for which no written or oral </w:t>
      </w:r>
      <w:r w:rsidR="00733214" w:rsidRPr="00235450">
        <w:t xml:space="preserve">interim </w:t>
      </w:r>
      <w:r w:rsidR="00CF65CA" w:rsidRPr="00235450">
        <w:t xml:space="preserve">examination is given (such as an internship or thesis) the examiner determines the result within 10 </w:t>
      </w:r>
      <w:r w:rsidR="00920AC0" w:rsidRPr="00235450">
        <w:t xml:space="preserve">working </w:t>
      </w:r>
      <w:r w:rsidR="00CF65CA" w:rsidRPr="00235450">
        <w:t>days after the submission deadline</w:t>
      </w:r>
      <w:r w:rsidR="00672D1E" w:rsidRPr="00235450">
        <w:t>,</w:t>
      </w:r>
      <w:r w:rsidR="00CF65CA" w:rsidRPr="00235450">
        <w:t xml:space="preserve"> as determined by the examiner, on condition that the student has submitted on time. If the student fails to submit </w:t>
      </w:r>
      <w:r w:rsidR="00C46995" w:rsidRPr="00235450">
        <w:t>on time</w:t>
      </w:r>
      <w:r w:rsidR="00CF65CA" w:rsidRPr="00235450">
        <w:t xml:space="preserve">, the examiner shall determine the result within a reasonable term. </w:t>
      </w:r>
    </w:p>
    <w:p w14:paraId="7F20BFF9" w14:textId="59FCD5C6" w:rsidR="003E30BF" w:rsidRPr="00235450" w:rsidRDefault="00777F56" w:rsidP="00F1333D">
      <w:pPr>
        <w:numPr>
          <w:ilvl w:val="0"/>
          <w:numId w:val="13"/>
        </w:numPr>
        <w:contextualSpacing/>
      </w:pPr>
      <w:r w:rsidRPr="00235450">
        <w:t xml:space="preserve">Within the time </w:t>
      </w:r>
      <w:r w:rsidR="00DA1B6A" w:rsidRPr="00235450">
        <w:t>limit</w:t>
      </w:r>
      <w:r w:rsidRPr="00235450">
        <w:t>s referred to in this Article, t</w:t>
      </w:r>
      <w:r w:rsidR="00C46995" w:rsidRPr="00235450">
        <w:t xml:space="preserve">he examiner ensures the results are </w:t>
      </w:r>
      <w:r w:rsidR="006D26C6" w:rsidRPr="00235450">
        <w:t xml:space="preserve">announced by </w:t>
      </w:r>
      <w:r w:rsidR="007E2241" w:rsidRPr="00235450">
        <w:t xml:space="preserve">entering </w:t>
      </w:r>
      <w:r w:rsidR="006D26C6" w:rsidRPr="00235450">
        <w:t xml:space="preserve">the results </w:t>
      </w:r>
      <w:r w:rsidR="007E2241" w:rsidRPr="00235450">
        <w:t xml:space="preserve">in </w:t>
      </w:r>
      <w:r w:rsidR="006D26C6" w:rsidRPr="00235450">
        <w:t xml:space="preserve">the student information system. </w:t>
      </w:r>
      <w:r w:rsidR="00DA1B6A" w:rsidRPr="00235450">
        <w:t>The s</w:t>
      </w:r>
      <w:r w:rsidR="006D26C6" w:rsidRPr="00235450">
        <w:t xml:space="preserve">tudent can find this information </w:t>
      </w:r>
      <w:r w:rsidR="00857213">
        <w:t>in this system</w:t>
      </w:r>
      <w:r w:rsidR="006D26C6" w:rsidRPr="00235450">
        <w:t xml:space="preserve">. </w:t>
      </w:r>
    </w:p>
    <w:p w14:paraId="2671A2BB" w14:textId="77777777" w:rsidR="00075192" w:rsidRPr="00235450" w:rsidRDefault="00075192" w:rsidP="003A72E9"/>
    <w:p w14:paraId="707C979A" w14:textId="77777777" w:rsidR="00433AF6" w:rsidRPr="00235450" w:rsidRDefault="002A7C0B" w:rsidP="004C4A9E">
      <w:pPr>
        <w:pStyle w:val="Kop2"/>
      </w:pPr>
      <w:bookmarkStart w:id="25" w:name="_Toc54257555"/>
      <w:r w:rsidRPr="00235450">
        <w:t>Section</w:t>
      </w:r>
      <w:r w:rsidR="00433AF6" w:rsidRPr="00235450">
        <w:t xml:space="preserve"> 5</w:t>
      </w:r>
      <w:r w:rsidR="00433AF6" w:rsidRPr="00235450">
        <w:tab/>
      </w:r>
      <w:r w:rsidR="00BB1FC6" w:rsidRPr="00235450">
        <w:t>Right</w:t>
      </w:r>
      <w:r w:rsidR="00433AF6" w:rsidRPr="00235450">
        <w:t xml:space="preserve"> of inspection and discussion</w:t>
      </w:r>
      <w:bookmarkEnd w:id="25"/>
    </w:p>
    <w:p w14:paraId="76D0ED92" w14:textId="77777777" w:rsidR="00433AF6" w:rsidRPr="00235450" w:rsidRDefault="00433AF6" w:rsidP="003A72E9"/>
    <w:p w14:paraId="4836F931" w14:textId="77777777" w:rsidR="00075192" w:rsidRPr="00235450" w:rsidRDefault="00486860" w:rsidP="004C4A9E">
      <w:pPr>
        <w:pStyle w:val="Artikel"/>
        <w:rPr>
          <w:b/>
          <w:lang w:val="en-GB"/>
        </w:rPr>
      </w:pPr>
      <w:r w:rsidRPr="00235450">
        <w:rPr>
          <w:b/>
          <w:lang w:val="en-GB"/>
        </w:rPr>
        <w:t xml:space="preserve">Scheduling </w:t>
      </w:r>
      <w:r w:rsidR="00433AF6" w:rsidRPr="00235450">
        <w:rPr>
          <w:b/>
          <w:lang w:val="en-GB"/>
        </w:rPr>
        <w:t>inspection and discussion</w:t>
      </w:r>
    </w:p>
    <w:p w14:paraId="0002B016" w14:textId="2D8E89E9" w:rsidR="00075192" w:rsidRPr="00235450" w:rsidRDefault="00170ECE" w:rsidP="00BC4CDF">
      <w:pPr>
        <w:pStyle w:val="Lijstalinea"/>
        <w:numPr>
          <w:ilvl w:val="0"/>
          <w:numId w:val="25"/>
        </w:numPr>
        <w:ind w:left="990" w:hanging="270"/>
      </w:pPr>
      <w:r w:rsidRPr="00235450">
        <w:t xml:space="preserve">Within </w:t>
      </w:r>
      <w:r w:rsidR="00922A42">
        <w:t>twenty</w:t>
      </w:r>
      <w:r w:rsidR="00922A42" w:rsidRPr="00235450">
        <w:t xml:space="preserve"> </w:t>
      </w:r>
      <w:r w:rsidR="00C009B3" w:rsidRPr="00235450">
        <w:t>working days</w:t>
      </w:r>
      <w:r w:rsidRPr="00235450">
        <w:t xml:space="preserve"> after </w:t>
      </w:r>
      <w:r w:rsidR="00922A42" w:rsidRPr="00922A42">
        <w:t>the last day of the education or resit period</w:t>
      </w:r>
      <w:r w:rsidR="008C4E57" w:rsidRPr="00235450">
        <w:t>, the examiner provides the student with an</w:t>
      </w:r>
      <w:r w:rsidRPr="00235450">
        <w:t xml:space="preserve"> opportunity to </w:t>
      </w:r>
      <w:r w:rsidR="00433AF6" w:rsidRPr="00235450">
        <w:t xml:space="preserve">inspect </w:t>
      </w:r>
      <w:r w:rsidR="007F2E85" w:rsidRPr="00235450">
        <w:t>his</w:t>
      </w:r>
      <w:r w:rsidR="00433AF6" w:rsidRPr="00235450">
        <w:t xml:space="preserve"> </w:t>
      </w:r>
      <w:r w:rsidR="00486860" w:rsidRPr="00235450">
        <w:t xml:space="preserve">assessed </w:t>
      </w:r>
      <w:r w:rsidRPr="00235450">
        <w:t>work.</w:t>
      </w:r>
      <w:r w:rsidR="00075192" w:rsidRPr="00235450">
        <w:t xml:space="preserve"> </w:t>
      </w:r>
    </w:p>
    <w:p w14:paraId="0229E2F6" w14:textId="69524885" w:rsidR="009021EB" w:rsidRPr="00235450" w:rsidRDefault="009021EB" w:rsidP="00F1333D">
      <w:pPr>
        <w:pStyle w:val="Lijstalinea"/>
        <w:numPr>
          <w:ilvl w:val="0"/>
          <w:numId w:val="25"/>
        </w:numPr>
        <w:ind w:left="993" w:hanging="284"/>
      </w:pPr>
      <w:r w:rsidRPr="00235450">
        <w:lastRenderedPageBreak/>
        <w:t xml:space="preserve">The examiner can </w:t>
      </w:r>
      <w:r w:rsidR="007F2E85" w:rsidRPr="00235450">
        <w:t>organize</w:t>
      </w:r>
      <w:r w:rsidR="00486860" w:rsidRPr="00235450">
        <w:t xml:space="preserve"> </w:t>
      </w:r>
      <w:r w:rsidRPr="00235450">
        <w:t xml:space="preserve">the inspection at </w:t>
      </w:r>
      <w:r w:rsidR="00B76572" w:rsidRPr="00235450">
        <w:t xml:space="preserve">a </w:t>
      </w:r>
      <w:r w:rsidR="007F2E85" w:rsidRPr="00235450">
        <w:t xml:space="preserve">determined </w:t>
      </w:r>
      <w:r w:rsidR="00B76572" w:rsidRPr="00235450">
        <w:t>place and time where he</w:t>
      </w:r>
      <w:r w:rsidRPr="00235450">
        <w:t xml:space="preserve"> </w:t>
      </w:r>
      <w:r w:rsidR="00486860" w:rsidRPr="00235450">
        <w:t xml:space="preserve">arranges </w:t>
      </w:r>
      <w:r w:rsidRPr="00235450">
        <w:t xml:space="preserve">a collective discussion or hands out model answers. </w:t>
      </w:r>
    </w:p>
    <w:p w14:paraId="1BF495DE" w14:textId="69EE22B1" w:rsidR="00075192" w:rsidRPr="00235450" w:rsidRDefault="009021EB" w:rsidP="00F1333D">
      <w:pPr>
        <w:pStyle w:val="Lijstalinea"/>
        <w:numPr>
          <w:ilvl w:val="0"/>
          <w:numId w:val="25"/>
        </w:numPr>
        <w:ind w:left="993" w:hanging="284"/>
      </w:pPr>
      <w:r w:rsidRPr="00235450">
        <w:t xml:space="preserve">During the </w:t>
      </w:r>
      <w:r w:rsidR="00433AF6" w:rsidRPr="00235450">
        <w:t xml:space="preserve"> inspection</w:t>
      </w:r>
      <w:r w:rsidR="00486860" w:rsidRPr="00235450">
        <w:t>,</w:t>
      </w:r>
      <w:r w:rsidR="00433AF6" w:rsidRPr="00235450">
        <w:t xml:space="preserve"> </w:t>
      </w:r>
      <w:r w:rsidR="007F2E85" w:rsidRPr="00235450">
        <w:t xml:space="preserve">the </w:t>
      </w:r>
      <w:r w:rsidR="00433AF6" w:rsidRPr="00235450">
        <w:t>student ha</w:t>
      </w:r>
      <w:r w:rsidR="007F2E85" w:rsidRPr="00235450">
        <w:t>s</w:t>
      </w:r>
      <w:r w:rsidR="00433AF6" w:rsidRPr="00235450">
        <w:t xml:space="preserve"> access to </w:t>
      </w:r>
      <w:r w:rsidR="007F2E85" w:rsidRPr="00235450">
        <w:t>his</w:t>
      </w:r>
      <w:r w:rsidR="00486860" w:rsidRPr="00235450">
        <w:t xml:space="preserve"> </w:t>
      </w:r>
      <w:r w:rsidR="00433AF6" w:rsidRPr="00235450">
        <w:t xml:space="preserve">own work, </w:t>
      </w:r>
      <w:r w:rsidR="00486860" w:rsidRPr="00235450">
        <w:t xml:space="preserve">to </w:t>
      </w:r>
      <w:r w:rsidR="00433AF6" w:rsidRPr="00235450">
        <w:t xml:space="preserve">the questions and assignments of </w:t>
      </w:r>
      <w:r w:rsidR="004C4A9E" w:rsidRPr="00235450">
        <w:t xml:space="preserve">the </w:t>
      </w:r>
      <w:r w:rsidR="00433AF6" w:rsidRPr="00235450">
        <w:t xml:space="preserve">particular </w:t>
      </w:r>
      <w:r w:rsidR="00733214" w:rsidRPr="00235450">
        <w:t xml:space="preserve">interim </w:t>
      </w:r>
      <w:r w:rsidR="00433AF6" w:rsidRPr="00235450">
        <w:t xml:space="preserve">examination and </w:t>
      </w:r>
      <w:r w:rsidR="008C4E57" w:rsidRPr="00235450">
        <w:t xml:space="preserve">to information regarding </w:t>
      </w:r>
      <w:r w:rsidR="00433AF6" w:rsidRPr="00235450">
        <w:t xml:space="preserve">the standards used for the </w:t>
      </w:r>
      <w:r w:rsidR="00486860" w:rsidRPr="00235450">
        <w:t>assessment</w:t>
      </w:r>
      <w:r w:rsidR="00433AF6" w:rsidRPr="00235450">
        <w:t xml:space="preserve">. </w:t>
      </w:r>
      <w:r w:rsidR="007F2E85" w:rsidRPr="00235450">
        <w:t>Also an examiner or lecturer will be available to give the student an explanation.</w:t>
      </w:r>
      <w:r w:rsidRPr="00235450">
        <w:t xml:space="preserve"> </w:t>
      </w:r>
    </w:p>
    <w:p w14:paraId="69CCEEB5" w14:textId="3A223E34" w:rsidR="00F349BC" w:rsidRPr="00235450" w:rsidRDefault="00433AF6" w:rsidP="00F1333D">
      <w:pPr>
        <w:pStyle w:val="Lijstalinea"/>
        <w:numPr>
          <w:ilvl w:val="0"/>
          <w:numId w:val="25"/>
        </w:numPr>
        <w:ind w:left="993" w:hanging="284"/>
      </w:pPr>
      <w:r w:rsidRPr="00235450">
        <w:t xml:space="preserve">If </w:t>
      </w:r>
      <w:r w:rsidR="007F2E85" w:rsidRPr="00235450">
        <w:t xml:space="preserve">the </w:t>
      </w:r>
      <w:r w:rsidRPr="00235450">
        <w:t xml:space="preserve">student </w:t>
      </w:r>
      <w:r w:rsidR="00F349BC" w:rsidRPr="00235450">
        <w:t>is</w:t>
      </w:r>
      <w:r w:rsidR="00486860" w:rsidRPr="00235450">
        <w:t xml:space="preserve"> </w:t>
      </w:r>
      <w:r w:rsidRPr="00235450">
        <w:t xml:space="preserve">prevented from attending the inspection and discussions due to circumstances beyond </w:t>
      </w:r>
      <w:r w:rsidR="00F349BC" w:rsidRPr="00235450">
        <w:t>his</w:t>
      </w:r>
      <w:r w:rsidR="00486860" w:rsidRPr="00235450">
        <w:t xml:space="preserve"> </w:t>
      </w:r>
      <w:r w:rsidRPr="00235450">
        <w:t xml:space="preserve">control, </w:t>
      </w:r>
      <w:r w:rsidR="00F349BC" w:rsidRPr="00235450">
        <w:t>he</w:t>
      </w:r>
      <w:r w:rsidR="00486860" w:rsidRPr="00235450">
        <w:t xml:space="preserve"> </w:t>
      </w:r>
      <w:r w:rsidRPr="00235450">
        <w:t xml:space="preserve">can request the right to inspection within </w:t>
      </w:r>
      <w:r w:rsidR="00C009B3" w:rsidRPr="00235450">
        <w:t>15 working days</w:t>
      </w:r>
      <w:r w:rsidRPr="00235450">
        <w:t xml:space="preserve"> after the results have been announced. The examiner decides on the place, time and manner in which the student shall inspect and discuss </w:t>
      </w:r>
      <w:r w:rsidR="00F349BC" w:rsidRPr="00235450">
        <w:t>his</w:t>
      </w:r>
      <w:r w:rsidR="00486860" w:rsidRPr="00235450">
        <w:t xml:space="preserve"> </w:t>
      </w:r>
      <w:r w:rsidRPr="00235450">
        <w:t>work.</w:t>
      </w:r>
      <w:r w:rsidR="0062026F" w:rsidRPr="00235450">
        <w:t xml:space="preserve"> </w:t>
      </w:r>
    </w:p>
    <w:p w14:paraId="7F472232" w14:textId="66F6CC3D" w:rsidR="00C009B3" w:rsidRPr="00235450" w:rsidRDefault="00C009B3" w:rsidP="00F1333D">
      <w:pPr>
        <w:pStyle w:val="Lijstalinea"/>
        <w:numPr>
          <w:ilvl w:val="0"/>
          <w:numId w:val="25"/>
        </w:numPr>
        <w:ind w:left="993" w:hanging="284"/>
      </w:pPr>
      <w:r w:rsidRPr="00235450">
        <w:t xml:space="preserve">Contrary to the provisions stated in subsections b and d, the inspection </w:t>
      </w:r>
      <w:r w:rsidR="00F349BC" w:rsidRPr="00235450">
        <w:t xml:space="preserve">and discussion </w:t>
      </w:r>
      <w:r w:rsidRPr="00235450">
        <w:t>for online courses will be organized online.</w:t>
      </w:r>
    </w:p>
    <w:p w14:paraId="57C04023" w14:textId="77777777" w:rsidR="006915A0" w:rsidRPr="00235450" w:rsidRDefault="006915A0" w:rsidP="006915A0">
      <w:pPr>
        <w:pStyle w:val="Kop2"/>
      </w:pPr>
    </w:p>
    <w:p w14:paraId="66F7D36B" w14:textId="15F79FF5" w:rsidR="00433AF6" w:rsidRPr="00235450" w:rsidRDefault="006915A0" w:rsidP="006915A0">
      <w:pPr>
        <w:pStyle w:val="Kop2"/>
      </w:pPr>
      <w:bookmarkStart w:id="26" w:name="_Toc54257556"/>
      <w:r w:rsidRPr="00235450">
        <w:t>Section 6</w:t>
      </w:r>
      <w:r w:rsidRPr="00235450">
        <w:tab/>
        <w:t>Validity period for results of examinations and partial examinations</w:t>
      </w:r>
      <w:bookmarkEnd w:id="26"/>
    </w:p>
    <w:p w14:paraId="2035BE0D" w14:textId="77777777" w:rsidR="006915A0" w:rsidRPr="00235450" w:rsidRDefault="006915A0" w:rsidP="006915A0"/>
    <w:p w14:paraId="45BB0E3E" w14:textId="2C8D066B" w:rsidR="00C763B6" w:rsidRPr="00235450" w:rsidRDefault="00C763B6" w:rsidP="00C763B6">
      <w:pPr>
        <w:pStyle w:val="Artikel"/>
        <w:rPr>
          <w:lang w:val="en-GB"/>
        </w:rPr>
      </w:pPr>
      <w:r w:rsidRPr="00235450">
        <w:rPr>
          <w:b/>
          <w:lang w:val="en-GB"/>
        </w:rPr>
        <w:t xml:space="preserve">Validity period for results of interim examinations </w:t>
      </w:r>
      <w:r w:rsidR="00E43216" w:rsidRPr="00235450">
        <w:rPr>
          <w:b/>
          <w:lang w:val="en-GB"/>
        </w:rPr>
        <w:t>and</w:t>
      </w:r>
      <w:r w:rsidRPr="00235450">
        <w:rPr>
          <w:b/>
          <w:lang w:val="en-GB"/>
        </w:rPr>
        <w:t xml:space="preserve"> </w:t>
      </w:r>
      <w:r w:rsidR="00C93E69" w:rsidRPr="00235450">
        <w:rPr>
          <w:b/>
          <w:lang w:val="en-GB"/>
        </w:rPr>
        <w:t>resit</w:t>
      </w:r>
      <w:r w:rsidRPr="00235450">
        <w:rPr>
          <w:b/>
          <w:lang w:val="en-GB"/>
        </w:rPr>
        <w:t>s</w:t>
      </w:r>
      <w:r w:rsidRPr="00235450">
        <w:rPr>
          <w:lang w:val="en-GB"/>
        </w:rPr>
        <w:t xml:space="preserve"> </w:t>
      </w:r>
    </w:p>
    <w:p w14:paraId="341E47ED" w14:textId="01C4DFD2" w:rsidR="00C763B6" w:rsidRPr="00235450" w:rsidRDefault="00C763B6" w:rsidP="00F1333D">
      <w:pPr>
        <w:pStyle w:val="Lijstalinea"/>
        <w:numPr>
          <w:ilvl w:val="0"/>
          <w:numId w:val="29"/>
        </w:numPr>
      </w:pPr>
      <w:r w:rsidRPr="00235450">
        <w:t>Results of examinations that have been passed remain valid indefinitely.</w:t>
      </w:r>
    </w:p>
    <w:p w14:paraId="66D2E71A" w14:textId="504D7AA6" w:rsidR="00C763B6" w:rsidRPr="00235450" w:rsidRDefault="00C763B6" w:rsidP="00F1333D">
      <w:pPr>
        <w:pStyle w:val="Lijstalinea"/>
        <w:numPr>
          <w:ilvl w:val="0"/>
          <w:numId w:val="29"/>
        </w:numPr>
      </w:pPr>
      <w:r w:rsidRPr="00235450">
        <w:t xml:space="preserve">Contrary to the provision of clause 1, the Examining Board may decide that the validity of a result of a passed interim examination or </w:t>
      </w:r>
      <w:r w:rsidR="00C93E69" w:rsidRPr="00235450">
        <w:t>resit</w:t>
      </w:r>
      <w:r w:rsidRPr="00235450">
        <w:t xml:space="preserve"> is limited. In conformity with article 7.10.4 WHW, the Examining Board can only decide so if the examined knowledge or the examined understanding is demonstrably outdated or if the examined skills are demonstrably outdated. </w:t>
      </w:r>
    </w:p>
    <w:p w14:paraId="7F2867C3" w14:textId="1A0EC4DF" w:rsidR="00433AF6" w:rsidRPr="00235450" w:rsidRDefault="00C763B6" w:rsidP="00F1333D">
      <w:pPr>
        <w:pStyle w:val="Lijstalinea"/>
        <w:numPr>
          <w:ilvl w:val="0"/>
          <w:numId w:val="29"/>
        </w:numPr>
      </w:pPr>
      <w:r w:rsidRPr="00235450">
        <w:t>In the event of extraordinary personal circumstances the validity term will be extended for the period during which the student in question is receiving support from the Graduation Fund</w:t>
      </w:r>
      <w:r w:rsidR="00964BA9" w:rsidRPr="00235450">
        <w:t>/Profiling Fund</w:t>
      </w:r>
      <w:r w:rsidRPr="00235450">
        <w:t>.</w:t>
      </w:r>
    </w:p>
    <w:p w14:paraId="2BA4DC25" w14:textId="77777777" w:rsidR="00F63003" w:rsidRPr="00235450" w:rsidRDefault="00F63003" w:rsidP="00F63003">
      <w:pPr>
        <w:pStyle w:val="Lijstalinea"/>
      </w:pPr>
    </w:p>
    <w:p w14:paraId="4C21A1F2" w14:textId="4DF413AE" w:rsidR="00433AF6" w:rsidRPr="00235450" w:rsidRDefault="00433AF6" w:rsidP="004C4A9E">
      <w:pPr>
        <w:pStyle w:val="Artikel"/>
        <w:rPr>
          <w:b/>
          <w:lang w:val="en-GB"/>
        </w:rPr>
      </w:pPr>
      <w:r w:rsidRPr="00235450">
        <w:rPr>
          <w:b/>
          <w:lang w:val="en-GB"/>
        </w:rPr>
        <w:t xml:space="preserve">Validity period </w:t>
      </w:r>
      <w:r w:rsidR="002730B0" w:rsidRPr="00235450">
        <w:rPr>
          <w:b/>
          <w:lang w:val="en-GB"/>
        </w:rPr>
        <w:t>for results</w:t>
      </w:r>
      <w:r w:rsidR="002730B0" w:rsidRPr="00235450" w:rsidDel="004C4A9E">
        <w:rPr>
          <w:b/>
          <w:lang w:val="en-GB"/>
        </w:rPr>
        <w:t xml:space="preserve"> </w:t>
      </w:r>
      <w:r w:rsidR="002730B0" w:rsidRPr="00235450">
        <w:rPr>
          <w:b/>
          <w:lang w:val="en-GB"/>
        </w:rPr>
        <w:t>of  partial examinations</w:t>
      </w:r>
      <w:r w:rsidRPr="00235450">
        <w:rPr>
          <w:b/>
          <w:lang w:val="en-GB"/>
        </w:rPr>
        <w:t xml:space="preserve"> </w:t>
      </w:r>
    </w:p>
    <w:p w14:paraId="65FCAC07" w14:textId="568BAE63" w:rsidR="00853C07" w:rsidRPr="00235450" w:rsidRDefault="004C4A9E" w:rsidP="00E43216">
      <w:r w:rsidRPr="00235450">
        <w:t>R</w:t>
      </w:r>
      <w:r w:rsidR="00853C07" w:rsidRPr="00235450">
        <w:t xml:space="preserve">esults </w:t>
      </w:r>
      <w:r w:rsidR="00486860" w:rsidRPr="00235450">
        <w:t>of</w:t>
      </w:r>
      <w:r w:rsidR="00853C07" w:rsidRPr="00235450">
        <w:t xml:space="preserve"> part</w:t>
      </w:r>
      <w:r w:rsidRPr="00235450">
        <w:t xml:space="preserve">ial </w:t>
      </w:r>
      <w:r w:rsidR="00D34F8B" w:rsidRPr="00235450">
        <w:t xml:space="preserve">interim </w:t>
      </w:r>
      <w:r w:rsidR="00853C07" w:rsidRPr="00235450">
        <w:t>examination</w:t>
      </w:r>
      <w:r w:rsidRPr="00235450">
        <w:t>s</w:t>
      </w:r>
      <w:r w:rsidR="00853C07" w:rsidRPr="00235450">
        <w:t xml:space="preserve"> </w:t>
      </w:r>
      <w:r w:rsidR="0060029B" w:rsidRPr="00235450">
        <w:t xml:space="preserve">or other parts of an interim examination </w:t>
      </w:r>
      <w:r w:rsidR="00853C07" w:rsidRPr="00235450">
        <w:t xml:space="preserve">are valid until the end of the academic year following the academic year in which the result </w:t>
      </w:r>
      <w:r w:rsidR="00486860" w:rsidRPr="00235450">
        <w:t>was attained</w:t>
      </w:r>
      <w:r w:rsidR="00853C07" w:rsidRPr="00235450">
        <w:t>, unless the study guide or Study Handbook</w:t>
      </w:r>
      <w:r w:rsidR="00547289" w:rsidRPr="00235450">
        <w:t xml:space="preserve"> states that the validity </w:t>
      </w:r>
      <w:r w:rsidR="00225DDE" w:rsidRPr="00235450">
        <w:t xml:space="preserve">period </w:t>
      </w:r>
      <w:r w:rsidR="00547289" w:rsidRPr="00235450">
        <w:t>is longer</w:t>
      </w:r>
      <w:r w:rsidR="00486860" w:rsidRPr="00235450">
        <w:t xml:space="preserve"> </w:t>
      </w:r>
      <w:r w:rsidR="00547289" w:rsidRPr="00235450">
        <w:t>(</w:t>
      </w:r>
      <w:r w:rsidR="00F349BC" w:rsidRPr="00235450">
        <w:t>ultimately</w:t>
      </w:r>
      <w:r w:rsidR="00853C07" w:rsidRPr="00235450">
        <w:t xml:space="preserve"> six years</w:t>
      </w:r>
      <w:r w:rsidR="00547289" w:rsidRPr="00235450">
        <w:t>)</w:t>
      </w:r>
      <w:r w:rsidR="00853C07" w:rsidRPr="00235450">
        <w:t>.</w:t>
      </w:r>
    </w:p>
    <w:p w14:paraId="29606AA0" w14:textId="77777777" w:rsidR="0060029B" w:rsidRPr="00235450" w:rsidRDefault="0060029B" w:rsidP="00236DFA">
      <w:pPr>
        <w:pStyle w:val="Lijstalinea"/>
        <w:ind w:left="993"/>
      </w:pPr>
    </w:p>
    <w:p w14:paraId="72E74D0B" w14:textId="04778E8B" w:rsidR="00853C07" w:rsidRPr="00235450" w:rsidRDefault="00853C07" w:rsidP="00F1333D">
      <w:pPr>
        <w:pStyle w:val="Kop1"/>
        <w:numPr>
          <w:ilvl w:val="0"/>
          <w:numId w:val="30"/>
        </w:numPr>
      </w:pPr>
      <w:bookmarkStart w:id="27" w:name="_Toc385260784"/>
      <w:bookmarkStart w:id="28" w:name="_Toc54257557"/>
      <w:r w:rsidRPr="00235450">
        <w:t>Exemption</w:t>
      </w:r>
      <w:r w:rsidR="00E30DCC" w:rsidRPr="00235450">
        <w:t>s</w:t>
      </w:r>
      <w:r w:rsidRPr="00235450">
        <w:t xml:space="preserve"> from examinations and practical assignments</w:t>
      </w:r>
      <w:bookmarkEnd w:id="27"/>
      <w:bookmarkEnd w:id="28"/>
    </w:p>
    <w:p w14:paraId="2E83A5CB" w14:textId="77777777" w:rsidR="00853C07" w:rsidRPr="00235450" w:rsidRDefault="00853C07" w:rsidP="00B81D02">
      <w:pPr>
        <w:pStyle w:val="Artikel"/>
        <w:rPr>
          <w:b/>
          <w:lang w:val="en-GB"/>
        </w:rPr>
      </w:pPr>
      <w:r w:rsidRPr="00235450">
        <w:rPr>
          <w:b/>
          <w:lang w:val="en-GB"/>
        </w:rPr>
        <w:t>Exemption from examinations</w:t>
      </w:r>
    </w:p>
    <w:p w14:paraId="0B7C2DE6" w14:textId="77777777" w:rsidR="00853C07" w:rsidRPr="00235450" w:rsidRDefault="0060029B" w:rsidP="00F1333D">
      <w:pPr>
        <w:numPr>
          <w:ilvl w:val="0"/>
          <w:numId w:val="14"/>
        </w:numPr>
        <w:contextualSpacing/>
      </w:pPr>
      <w:r w:rsidRPr="00235450">
        <w:t>At the written request of the student, t</w:t>
      </w:r>
      <w:r w:rsidR="00853C07" w:rsidRPr="00235450">
        <w:t>he</w:t>
      </w:r>
      <w:r w:rsidR="00CC0B24" w:rsidRPr="00235450">
        <w:t xml:space="preserve"> </w:t>
      </w:r>
      <w:r w:rsidR="00213FA2" w:rsidRPr="00235450">
        <w:t>Examining Board</w:t>
      </w:r>
      <w:r w:rsidR="00D35456" w:rsidRPr="00235450">
        <w:t xml:space="preserve"> </w:t>
      </w:r>
      <w:r w:rsidR="008C4E57" w:rsidRPr="00235450">
        <w:t xml:space="preserve">can </w:t>
      </w:r>
      <w:r w:rsidR="002730B0" w:rsidRPr="00235450">
        <w:t xml:space="preserve">grant </w:t>
      </w:r>
      <w:r w:rsidR="008C4E57" w:rsidRPr="00235450">
        <w:t xml:space="preserve">an exemption </w:t>
      </w:r>
      <w:r w:rsidR="002730B0" w:rsidRPr="00235450">
        <w:t xml:space="preserve">from </w:t>
      </w:r>
      <w:r w:rsidR="00CC0B24" w:rsidRPr="00235450">
        <w:t xml:space="preserve">an examination. </w:t>
      </w:r>
      <w:r w:rsidR="008C4E57" w:rsidRPr="00235450">
        <w:t xml:space="preserve">The </w:t>
      </w:r>
      <w:r w:rsidR="00213FA2" w:rsidRPr="00235450">
        <w:t>Examining Board</w:t>
      </w:r>
      <w:r w:rsidR="00CC0B24" w:rsidRPr="00235450">
        <w:t xml:space="preserve"> seeks advice from the relevant examiner.</w:t>
      </w:r>
      <w:r w:rsidR="00853C07" w:rsidRPr="00235450">
        <w:t xml:space="preserve"> </w:t>
      </w:r>
    </w:p>
    <w:p w14:paraId="35F9792B" w14:textId="77777777" w:rsidR="00CC0B24" w:rsidRPr="00235450" w:rsidRDefault="00240C9E" w:rsidP="00F1333D">
      <w:pPr>
        <w:numPr>
          <w:ilvl w:val="0"/>
          <w:numId w:val="14"/>
        </w:numPr>
        <w:contextualSpacing/>
      </w:pPr>
      <w:r w:rsidRPr="00235450">
        <w:t>I</w:t>
      </w:r>
      <w:r w:rsidR="008C4E57" w:rsidRPr="00235450">
        <w:t xml:space="preserve">t is possible that descriptions of </w:t>
      </w:r>
      <w:r w:rsidR="00CC0B24" w:rsidRPr="00235450">
        <w:t xml:space="preserve">knowledge and skills </w:t>
      </w:r>
      <w:r w:rsidR="008C4E57" w:rsidRPr="00235450">
        <w:t>giving</w:t>
      </w:r>
      <w:r w:rsidR="00CC0B24" w:rsidRPr="00235450">
        <w:t xml:space="preserve"> grounds for awarding exemptions</w:t>
      </w:r>
      <w:r w:rsidRPr="00235450">
        <w:t xml:space="preserve"> by the</w:t>
      </w:r>
      <w:r w:rsidR="00CC0B24" w:rsidRPr="00235450">
        <w:t xml:space="preserve"> relevant </w:t>
      </w:r>
      <w:r w:rsidR="00AA52E2" w:rsidRPr="00235450">
        <w:t>Examining Board</w:t>
      </w:r>
      <w:r w:rsidRPr="00235450">
        <w:t xml:space="preserve"> are set out in agreements between Wageningen University and other institutes</w:t>
      </w:r>
      <w:r w:rsidR="0089295C" w:rsidRPr="00235450">
        <w:t xml:space="preserve"> </w:t>
      </w:r>
      <w:r w:rsidRPr="00235450">
        <w:t>of higher education. In such cases</w:t>
      </w:r>
      <w:r w:rsidR="004721E7" w:rsidRPr="00235450">
        <w:t xml:space="preserve"> </w:t>
      </w:r>
      <w:r w:rsidRPr="00235450">
        <w:t xml:space="preserve">the </w:t>
      </w:r>
      <w:r w:rsidR="00213FA2" w:rsidRPr="00235450">
        <w:t>Examining Board</w:t>
      </w:r>
      <w:r w:rsidRPr="00235450">
        <w:t xml:space="preserve"> shall base its decisions on these grounds</w:t>
      </w:r>
      <w:r w:rsidR="00CC0B24" w:rsidRPr="00235450">
        <w:t>.</w:t>
      </w:r>
    </w:p>
    <w:p w14:paraId="3EAA2B55" w14:textId="77777777" w:rsidR="00CE2BB5" w:rsidRPr="00235450" w:rsidRDefault="00CE2BB5" w:rsidP="00CE2BB5"/>
    <w:p w14:paraId="214D2503" w14:textId="77777777" w:rsidR="00CE2BB5" w:rsidRPr="00235450" w:rsidRDefault="00284AB2" w:rsidP="00B81D02">
      <w:pPr>
        <w:pStyle w:val="Artikel"/>
        <w:rPr>
          <w:b/>
          <w:lang w:val="en-GB"/>
        </w:rPr>
      </w:pPr>
      <w:r w:rsidRPr="00235450">
        <w:rPr>
          <w:b/>
          <w:lang w:val="en-GB"/>
        </w:rPr>
        <w:t>Exemptions from compulsor</w:t>
      </w:r>
      <w:r w:rsidR="00CE2BB5" w:rsidRPr="00235450">
        <w:rPr>
          <w:b/>
          <w:lang w:val="en-GB"/>
        </w:rPr>
        <w:t xml:space="preserve">y practical assignments </w:t>
      </w:r>
    </w:p>
    <w:p w14:paraId="2791A25B" w14:textId="77777777" w:rsidR="00853C07" w:rsidRPr="00235450" w:rsidRDefault="00240C9E" w:rsidP="00CE2BB5">
      <w:r w:rsidRPr="00235450">
        <w:t xml:space="preserve">The </w:t>
      </w:r>
      <w:r w:rsidR="00213FA2" w:rsidRPr="00235450">
        <w:t>Examining Board</w:t>
      </w:r>
      <w:r w:rsidR="000C76B3" w:rsidRPr="00235450">
        <w:t xml:space="preserve"> </w:t>
      </w:r>
      <w:r w:rsidR="00CE2BB5" w:rsidRPr="00235450">
        <w:t xml:space="preserve">can </w:t>
      </w:r>
      <w:r w:rsidR="002730B0" w:rsidRPr="00235450">
        <w:t xml:space="preserve">grant </w:t>
      </w:r>
      <w:r w:rsidR="00CE2BB5" w:rsidRPr="00235450">
        <w:t xml:space="preserve">exemptions from the obligation to take part in certain practical assignments, whether or not subject to other requirements. Such exemptions can be awarded on </w:t>
      </w:r>
      <w:r w:rsidR="00B76572" w:rsidRPr="00235450">
        <w:t xml:space="preserve">the </w:t>
      </w:r>
      <w:r w:rsidR="00CE2BB5" w:rsidRPr="00235450">
        <w:t xml:space="preserve">grounds of </w:t>
      </w:r>
      <w:r w:rsidR="00B76572" w:rsidRPr="00235450">
        <w:t>conscientious objections or</w:t>
      </w:r>
      <w:r w:rsidR="00CE2BB5" w:rsidRPr="00235450">
        <w:t xml:space="preserve"> </w:t>
      </w:r>
      <w:r w:rsidR="00B76572" w:rsidRPr="00235450">
        <w:t xml:space="preserve">in </w:t>
      </w:r>
      <w:r w:rsidR="002730B0" w:rsidRPr="00235450">
        <w:t xml:space="preserve">very exceptional </w:t>
      </w:r>
      <w:r w:rsidR="00CE2BB5" w:rsidRPr="00235450">
        <w:t xml:space="preserve">circumstances. </w:t>
      </w:r>
    </w:p>
    <w:p w14:paraId="190E54BA" w14:textId="77777777" w:rsidR="00433AF6" w:rsidRPr="00235450" w:rsidRDefault="00433AF6" w:rsidP="00655907"/>
    <w:p w14:paraId="55D52AFA" w14:textId="77777777" w:rsidR="00CE2BB5" w:rsidRPr="00235450" w:rsidRDefault="002730B0" w:rsidP="00B81D02">
      <w:pPr>
        <w:pStyle w:val="Artikel"/>
        <w:rPr>
          <w:b/>
          <w:lang w:val="en-GB"/>
        </w:rPr>
      </w:pPr>
      <w:r w:rsidRPr="00235450">
        <w:rPr>
          <w:b/>
          <w:lang w:val="en-GB"/>
        </w:rPr>
        <w:t xml:space="preserve">Specification in </w:t>
      </w:r>
      <w:r w:rsidR="00B76572" w:rsidRPr="00235450">
        <w:rPr>
          <w:b/>
          <w:lang w:val="en-GB"/>
        </w:rPr>
        <w:t xml:space="preserve">the </w:t>
      </w:r>
      <w:r w:rsidR="00681200" w:rsidRPr="00235450">
        <w:rPr>
          <w:b/>
          <w:lang w:val="en-GB"/>
        </w:rPr>
        <w:t xml:space="preserve">Rules and </w:t>
      </w:r>
      <w:r w:rsidR="00B76572" w:rsidRPr="00235450">
        <w:rPr>
          <w:b/>
          <w:lang w:val="en-GB"/>
        </w:rPr>
        <w:t>Regulations</w:t>
      </w:r>
    </w:p>
    <w:p w14:paraId="6DDE96A1" w14:textId="61B922F4" w:rsidR="00CE2BB5" w:rsidRPr="00235450" w:rsidRDefault="002730B0" w:rsidP="00CE2BB5">
      <w:r w:rsidRPr="00235450">
        <w:t xml:space="preserve">In the </w:t>
      </w:r>
      <w:r w:rsidR="00681200" w:rsidRPr="00235450">
        <w:t xml:space="preserve">Rules and </w:t>
      </w:r>
      <w:r w:rsidRPr="00235450">
        <w:t>Regulations</w:t>
      </w:r>
      <w:r w:rsidR="00681200" w:rsidRPr="00235450">
        <w:t>,</w:t>
      </w:r>
      <w:r w:rsidRPr="00235450">
        <w:t xml:space="preserve"> t</w:t>
      </w:r>
      <w:r w:rsidR="00284AB2" w:rsidRPr="00235450">
        <w:t xml:space="preserve">he </w:t>
      </w:r>
      <w:r w:rsidR="00AA52E2" w:rsidRPr="00235450">
        <w:t>Examining Board</w:t>
      </w:r>
      <w:r w:rsidR="00284AB2" w:rsidRPr="00235450">
        <w:t xml:space="preserve"> </w:t>
      </w:r>
      <w:r w:rsidR="0060029B" w:rsidRPr="00235450">
        <w:t xml:space="preserve">can </w:t>
      </w:r>
      <w:r w:rsidRPr="00235450">
        <w:t>specif</w:t>
      </w:r>
      <w:r w:rsidR="0060029B" w:rsidRPr="00235450">
        <w:t>y</w:t>
      </w:r>
      <w:r w:rsidRPr="00235450">
        <w:t xml:space="preserve"> </w:t>
      </w:r>
      <w:r w:rsidR="00B76572" w:rsidRPr="00235450">
        <w:t>the</w:t>
      </w:r>
      <w:r w:rsidR="00284AB2" w:rsidRPr="00235450">
        <w:t xml:space="preserve"> grounds for exemptions and the procedure for requesting an exemption. </w:t>
      </w:r>
    </w:p>
    <w:p w14:paraId="167EDC4F" w14:textId="77777777" w:rsidR="006D3D1B" w:rsidRPr="00235450" w:rsidRDefault="006D3D1B" w:rsidP="00CE2BB5"/>
    <w:p w14:paraId="0F458837" w14:textId="77777777" w:rsidR="00B81D02" w:rsidRPr="00235450" w:rsidRDefault="00B81D02" w:rsidP="00CE2BB5"/>
    <w:p w14:paraId="798764D8" w14:textId="56C73660" w:rsidR="009718E6" w:rsidRPr="00235450" w:rsidRDefault="002730B0" w:rsidP="00F1333D">
      <w:pPr>
        <w:pStyle w:val="Kop1"/>
        <w:numPr>
          <w:ilvl w:val="0"/>
          <w:numId w:val="30"/>
        </w:numPr>
      </w:pPr>
      <w:bookmarkStart w:id="29" w:name="_Toc54257558"/>
      <w:r w:rsidRPr="00235450">
        <w:lastRenderedPageBreak/>
        <w:t xml:space="preserve">Final </w:t>
      </w:r>
      <w:r w:rsidR="003F6444" w:rsidRPr="00235450">
        <w:t>examinations</w:t>
      </w:r>
      <w:r w:rsidR="00284AB2" w:rsidRPr="00235450">
        <w:t xml:space="preserve">, </w:t>
      </w:r>
      <w:r w:rsidR="00F05E80" w:rsidRPr="00235450">
        <w:t>diploma</w:t>
      </w:r>
      <w:bookmarkEnd w:id="29"/>
      <w:r w:rsidR="00F05E80" w:rsidRPr="00235450">
        <w:t xml:space="preserve"> </w:t>
      </w:r>
    </w:p>
    <w:p w14:paraId="5A349B84" w14:textId="3486EC84" w:rsidR="00284AB2" w:rsidRPr="00235450" w:rsidRDefault="002730B0" w:rsidP="00B81D02">
      <w:pPr>
        <w:pStyle w:val="Artikel"/>
        <w:rPr>
          <w:b/>
          <w:lang w:val="en-GB"/>
        </w:rPr>
      </w:pPr>
      <w:r w:rsidRPr="00235450">
        <w:rPr>
          <w:b/>
          <w:lang w:val="en-GB"/>
        </w:rPr>
        <w:t>The final exam</w:t>
      </w:r>
      <w:r w:rsidR="003F6444" w:rsidRPr="00235450">
        <w:rPr>
          <w:b/>
          <w:lang w:val="en-GB"/>
        </w:rPr>
        <w:t>ination</w:t>
      </w:r>
      <w:r w:rsidRPr="00235450">
        <w:rPr>
          <w:b/>
          <w:lang w:val="en-GB"/>
        </w:rPr>
        <w:t xml:space="preserve"> of the </w:t>
      </w:r>
      <w:r w:rsidR="00566460" w:rsidRPr="00235450">
        <w:rPr>
          <w:b/>
          <w:lang w:val="en-GB"/>
        </w:rPr>
        <w:t>programme</w:t>
      </w:r>
      <w:r w:rsidR="00240C9E" w:rsidRPr="00235450">
        <w:rPr>
          <w:b/>
          <w:lang w:val="en-GB"/>
        </w:rPr>
        <w:t xml:space="preserve"> </w:t>
      </w:r>
    </w:p>
    <w:p w14:paraId="2F3F0A1F" w14:textId="4B21BEDE" w:rsidR="00284AB2" w:rsidRPr="00235450" w:rsidRDefault="00591A74" w:rsidP="00F1333D">
      <w:pPr>
        <w:numPr>
          <w:ilvl w:val="0"/>
          <w:numId w:val="15"/>
        </w:numPr>
        <w:ind w:left="567" w:hanging="436"/>
        <w:contextualSpacing/>
      </w:pPr>
      <w:r w:rsidRPr="00235450">
        <w:t xml:space="preserve">A </w:t>
      </w:r>
      <w:r w:rsidR="000A1F66" w:rsidRPr="00235450">
        <w:t xml:space="preserve">master’s </w:t>
      </w:r>
      <w:r w:rsidR="002730B0" w:rsidRPr="00235450">
        <w:t xml:space="preserve">final </w:t>
      </w:r>
      <w:r w:rsidRPr="00235450">
        <w:t>exam</w:t>
      </w:r>
      <w:r w:rsidR="003F6444" w:rsidRPr="00235450">
        <w:t>ination</w:t>
      </w:r>
      <w:r w:rsidRPr="00235450">
        <w:t xml:space="preserve"> is </w:t>
      </w:r>
      <w:r w:rsidR="002730B0" w:rsidRPr="00235450">
        <w:t xml:space="preserve">part of </w:t>
      </w:r>
      <w:r w:rsidR="00B1177B" w:rsidRPr="00235450">
        <w:t>the</w:t>
      </w:r>
      <w:r w:rsidR="000A1F66" w:rsidRPr="00235450">
        <w:t xml:space="preserve"> </w:t>
      </w:r>
      <w:r w:rsidRPr="00235450">
        <w:t>programme.</w:t>
      </w:r>
    </w:p>
    <w:p w14:paraId="207401B5" w14:textId="13DF9FCD" w:rsidR="000F5722" w:rsidRPr="00235450" w:rsidRDefault="00F349BC" w:rsidP="00F1333D">
      <w:pPr>
        <w:pStyle w:val="Lijstalinea"/>
        <w:numPr>
          <w:ilvl w:val="0"/>
          <w:numId w:val="15"/>
        </w:numPr>
        <w:ind w:left="567" w:hanging="436"/>
        <w:rPr>
          <w:b/>
        </w:rPr>
      </w:pPr>
      <w:r w:rsidRPr="00235450">
        <w:t>The student</w:t>
      </w:r>
      <w:r w:rsidR="00591A74" w:rsidRPr="00235450">
        <w:t xml:space="preserve"> pass</w:t>
      </w:r>
      <w:r w:rsidRPr="00235450">
        <w:t>es</w:t>
      </w:r>
      <w:r w:rsidR="00591A74" w:rsidRPr="00235450">
        <w:t xml:space="preserve"> the</w:t>
      </w:r>
      <w:r w:rsidR="00240C9E" w:rsidRPr="00235450">
        <w:t xml:space="preserve"> </w:t>
      </w:r>
      <w:r w:rsidR="002730B0" w:rsidRPr="00235450">
        <w:t xml:space="preserve">final </w:t>
      </w:r>
      <w:r w:rsidR="00591A74" w:rsidRPr="00235450">
        <w:t xml:space="preserve">examination </w:t>
      </w:r>
      <w:r w:rsidR="002730B0" w:rsidRPr="00235450">
        <w:t xml:space="preserve">if </w:t>
      </w:r>
      <w:r w:rsidRPr="00235450">
        <w:t>he</w:t>
      </w:r>
      <w:r w:rsidR="002730B0" w:rsidRPr="00235450">
        <w:t xml:space="preserve"> ha</w:t>
      </w:r>
      <w:r w:rsidRPr="00235450">
        <w:t>s</w:t>
      </w:r>
      <w:r w:rsidR="002730B0" w:rsidRPr="00235450">
        <w:t xml:space="preserve"> </w:t>
      </w:r>
      <w:r w:rsidR="00591A74" w:rsidRPr="00235450">
        <w:t>pass</w:t>
      </w:r>
      <w:r w:rsidR="002730B0" w:rsidRPr="00235450">
        <w:t xml:space="preserve">ed </w:t>
      </w:r>
      <w:r w:rsidR="00591A74" w:rsidRPr="00235450">
        <w:t>all</w:t>
      </w:r>
      <w:r w:rsidR="002730B0" w:rsidRPr="00235450">
        <w:t xml:space="preserve"> </w:t>
      </w:r>
      <w:r w:rsidR="00534EBE" w:rsidRPr="00235450">
        <w:t xml:space="preserve">courses </w:t>
      </w:r>
      <w:r w:rsidR="00240C9E" w:rsidRPr="00235450">
        <w:t>in</w:t>
      </w:r>
      <w:r w:rsidR="00591A74" w:rsidRPr="00235450">
        <w:t xml:space="preserve"> </w:t>
      </w:r>
      <w:r w:rsidRPr="00235450">
        <w:t>his</w:t>
      </w:r>
      <w:r w:rsidR="0060029B" w:rsidRPr="00235450">
        <w:t xml:space="preserve"> individual</w:t>
      </w:r>
      <w:r w:rsidR="00366508" w:rsidRPr="00235450">
        <w:t xml:space="preserve"> </w:t>
      </w:r>
      <w:r w:rsidR="00591A74" w:rsidRPr="00235450">
        <w:t xml:space="preserve">examination programme. </w:t>
      </w:r>
    </w:p>
    <w:p w14:paraId="1D724A4F" w14:textId="77777777" w:rsidR="00591A74" w:rsidRPr="00235450" w:rsidRDefault="00591A74" w:rsidP="00591A74"/>
    <w:p w14:paraId="44996C1A" w14:textId="299AA799" w:rsidR="009718E6" w:rsidRPr="00235450" w:rsidRDefault="00366508">
      <w:pPr>
        <w:pStyle w:val="Artikel"/>
        <w:ind w:left="1418" w:hanging="1418"/>
        <w:rPr>
          <w:b/>
          <w:lang w:val="en-GB"/>
        </w:rPr>
      </w:pPr>
      <w:r w:rsidRPr="00235450">
        <w:rPr>
          <w:b/>
          <w:lang w:val="en-GB"/>
        </w:rPr>
        <w:t>The d</w:t>
      </w:r>
      <w:r w:rsidR="00304C1D" w:rsidRPr="00235450">
        <w:rPr>
          <w:b/>
          <w:lang w:val="en-GB"/>
        </w:rPr>
        <w:t>egree</w:t>
      </w:r>
      <w:r w:rsidR="00591A74" w:rsidRPr="00235450">
        <w:rPr>
          <w:b/>
          <w:lang w:val="en-GB"/>
        </w:rPr>
        <w:t xml:space="preserve"> attributed to the </w:t>
      </w:r>
      <w:r w:rsidRPr="00235450">
        <w:rPr>
          <w:b/>
          <w:lang w:val="en-GB"/>
        </w:rPr>
        <w:t xml:space="preserve">final </w:t>
      </w:r>
      <w:r w:rsidR="003F6444" w:rsidRPr="00235450">
        <w:rPr>
          <w:b/>
          <w:lang w:val="en-GB"/>
        </w:rPr>
        <w:t>examinations</w:t>
      </w:r>
      <w:r w:rsidR="00591A74" w:rsidRPr="00235450">
        <w:rPr>
          <w:b/>
          <w:lang w:val="en-GB"/>
        </w:rPr>
        <w:t xml:space="preserve"> of the </w:t>
      </w:r>
      <w:r w:rsidR="00436B84" w:rsidRPr="00235450">
        <w:rPr>
          <w:b/>
          <w:lang w:val="en-GB"/>
        </w:rPr>
        <w:t xml:space="preserve">programme </w:t>
      </w:r>
    </w:p>
    <w:p w14:paraId="4CD4EC26" w14:textId="357EFE8B" w:rsidR="00591A74" w:rsidRPr="00235450" w:rsidRDefault="00304C1D" w:rsidP="00CB6B6D">
      <w:r w:rsidRPr="00235450">
        <w:t xml:space="preserve">Based on </w:t>
      </w:r>
      <w:r w:rsidR="00366508" w:rsidRPr="00235450">
        <w:t>A</w:t>
      </w:r>
      <w:r w:rsidRPr="00235450">
        <w:t xml:space="preserve">rticle 7.10a.1 </w:t>
      </w:r>
      <w:r w:rsidR="00E43216" w:rsidRPr="00235450">
        <w:t>jo Article 7.3c 2</w:t>
      </w:r>
      <w:r w:rsidR="00B1177B" w:rsidRPr="00235450">
        <w:t xml:space="preserve"> </w:t>
      </w:r>
      <w:r w:rsidRPr="00235450">
        <w:t>of the WHW, the</w:t>
      </w:r>
      <w:r w:rsidR="00B1177B" w:rsidRPr="00235450">
        <w:t xml:space="preserve"> joint Executive Boards of the partner institutions</w:t>
      </w:r>
      <w:r w:rsidRPr="00235450">
        <w:t xml:space="preserve"> award </w:t>
      </w:r>
      <w:r w:rsidR="004770EA" w:rsidRPr="00235450">
        <w:t>a</w:t>
      </w:r>
      <w:r w:rsidR="00964BA9" w:rsidRPr="00235450">
        <w:t xml:space="preserve"> </w:t>
      </w:r>
      <w:r w:rsidR="00B1177B" w:rsidRPr="00235450">
        <w:t xml:space="preserve"> </w:t>
      </w:r>
      <w:r w:rsidR="004770EA" w:rsidRPr="00235450">
        <w:t xml:space="preserve">Master of Science </w:t>
      </w:r>
      <w:r w:rsidR="00F16FDB" w:rsidRPr="00235450">
        <w:t>degree</w:t>
      </w:r>
      <w:r w:rsidR="00366508" w:rsidRPr="00235450">
        <w:t>,</w:t>
      </w:r>
      <w:r w:rsidR="00F16FDB" w:rsidRPr="00235450">
        <w:t xml:space="preserve"> </w:t>
      </w:r>
      <w:r w:rsidR="00366508" w:rsidRPr="00235450">
        <w:t xml:space="preserve">followed by </w:t>
      </w:r>
      <w:r w:rsidRPr="00235450">
        <w:t xml:space="preserve">the name of the </w:t>
      </w:r>
      <w:r w:rsidR="00366508" w:rsidRPr="00235450">
        <w:t xml:space="preserve">corresponding </w:t>
      </w:r>
      <w:r w:rsidR="00566460" w:rsidRPr="00235450">
        <w:t>programme</w:t>
      </w:r>
      <w:r w:rsidR="00366508" w:rsidRPr="00235450">
        <w:t xml:space="preserve">, to those who have successfully completed the </w:t>
      </w:r>
      <w:r w:rsidR="00B1177B" w:rsidRPr="00235450">
        <w:t xml:space="preserve">joint degree </w:t>
      </w:r>
      <w:r w:rsidR="00366508" w:rsidRPr="00235450">
        <w:t>master’s programme</w:t>
      </w:r>
      <w:r w:rsidR="00B1177B" w:rsidRPr="00235450">
        <w:t xml:space="preserve"> Water Technology</w:t>
      </w:r>
      <w:r w:rsidR="00366508" w:rsidRPr="00235450">
        <w:t xml:space="preserve">. </w:t>
      </w:r>
      <w:r w:rsidRPr="00235450">
        <w:t>The</w:t>
      </w:r>
      <w:r w:rsidR="00B1177B" w:rsidRPr="00235450">
        <w:t xml:space="preserve"> </w:t>
      </w:r>
      <w:r w:rsidRPr="00235450">
        <w:t xml:space="preserve">degree and the </w:t>
      </w:r>
      <w:r w:rsidR="00566460" w:rsidRPr="00235450">
        <w:t>programme</w:t>
      </w:r>
      <w:r w:rsidRPr="00235450">
        <w:t xml:space="preserve"> are </w:t>
      </w:r>
      <w:r w:rsidR="00366508" w:rsidRPr="00235450">
        <w:t xml:space="preserve">also stated </w:t>
      </w:r>
      <w:r w:rsidRPr="00235450">
        <w:t xml:space="preserve">on the </w:t>
      </w:r>
      <w:r w:rsidR="004770EA" w:rsidRPr="00235450">
        <w:t>diploma.</w:t>
      </w:r>
      <w:r w:rsidR="00B1177B" w:rsidRPr="00235450">
        <w:t xml:space="preserve"> The names and </w:t>
      </w:r>
      <w:r w:rsidR="00E43216" w:rsidRPr="00235450">
        <w:t>logos</w:t>
      </w:r>
      <w:r w:rsidR="00B1177B" w:rsidRPr="00235450">
        <w:t xml:space="preserve"> of the joint partner institutions are shown on the diploma.</w:t>
      </w:r>
    </w:p>
    <w:p w14:paraId="1F744B51" w14:textId="77777777" w:rsidR="00436B84" w:rsidRPr="00235450" w:rsidRDefault="00436B84" w:rsidP="00436B84"/>
    <w:p w14:paraId="4B7A3047" w14:textId="61DEEAD1" w:rsidR="00436B84" w:rsidRPr="00235450" w:rsidRDefault="00436B84" w:rsidP="00F16FDB">
      <w:pPr>
        <w:pStyle w:val="Artikel"/>
        <w:rPr>
          <w:b/>
          <w:lang w:val="en-GB"/>
        </w:rPr>
      </w:pPr>
      <w:r w:rsidRPr="00235450">
        <w:rPr>
          <w:b/>
          <w:lang w:val="en-GB"/>
        </w:rPr>
        <w:t xml:space="preserve">The </w:t>
      </w:r>
      <w:r w:rsidR="00366508" w:rsidRPr="00235450">
        <w:rPr>
          <w:b/>
          <w:lang w:val="en-GB"/>
        </w:rPr>
        <w:t xml:space="preserve">final </w:t>
      </w:r>
      <w:r w:rsidRPr="00235450">
        <w:rPr>
          <w:b/>
          <w:lang w:val="en-GB"/>
        </w:rPr>
        <w:t>exam</w:t>
      </w:r>
      <w:r w:rsidR="003F6444" w:rsidRPr="00235450">
        <w:rPr>
          <w:b/>
          <w:lang w:val="en-GB"/>
        </w:rPr>
        <w:t>ination</w:t>
      </w:r>
      <w:r w:rsidRPr="00235450">
        <w:rPr>
          <w:b/>
          <w:lang w:val="en-GB"/>
        </w:rPr>
        <w:t xml:space="preserve"> results and the date </w:t>
      </w:r>
      <w:r w:rsidR="00366508" w:rsidRPr="00235450">
        <w:rPr>
          <w:b/>
          <w:lang w:val="en-GB"/>
        </w:rPr>
        <w:t>of the final exam</w:t>
      </w:r>
      <w:r w:rsidR="003F6444" w:rsidRPr="00235450">
        <w:rPr>
          <w:b/>
          <w:lang w:val="en-GB"/>
        </w:rPr>
        <w:t>ination</w:t>
      </w:r>
    </w:p>
    <w:p w14:paraId="299AE312" w14:textId="3FE34A3D" w:rsidR="008A14BF" w:rsidRPr="00235450" w:rsidRDefault="00436B84" w:rsidP="00655907">
      <w:pPr>
        <w:ind w:left="567" w:hanging="283"/>
      </w:pPr>
      <w:r w:rsidRPr="00235450">
        <w:t>a.</w:t>
      </w:r>
      <w:r w:rsidRPr="00235450">
        <w:tab/>
        <w:t xml:space="preserve">The </w:t>
      </w:r>
      <w:r w:rsidR="00AA52E2" w:rsidRPr="00235450">
        <w:t>Examining Board</w:t>
      </w:r>
      <w:r w:rsidR="00F9546D" w:rsidRPr="00235450">
        <w:t xml:space="preserve"> </w:t>
      </w:r>
      <w:r w:rsidRPr="00235450">
        <w:t xml:space="preserve">determines the </w:t>
      </w:r>
      <w:r w:rsidR="00366508" w:rsidRPr="00235450">
        <w:t xml:space="preserve">final </w:t>
      </w:r>
      <w:r w:rsidR="008A14BF" w:rsidRPr="00235450">
        <w:t>exam</w:t>
      </w:r>
      <w:r w:rsidR="003F6444" w:rsidRPr="00235450">
        <w:t>ination</w:t>
      </w:r>
      <w:r w:rsidR="008A14BF" w:rsidRPr="00235450">
        <w:t xml:space="preserve"> </w:t>
      </w:r>
      <w:r w:rsidRPr="00235450">
        <w:t>result</w:t>
      </w:r>
      <w:r w:rsidR="00366508" w:rsidRPr="00235450">
        <w:t>s</w:t>
      </w:r>
      <w:r w:rsidRPr="00235450">
        <w:t xml:space="preserve"> after all interim examinations of the individual </w:t>
      </w:r>
      <w:r w:rsidR="00B76572" w:rsidRPr="00235450">
        <w:t>examination</w:t>
      </w:r>
      <w:r w:rsidRPr="00235450">
        <w:t xml:space="preserve"> programme</w:t>
      </w:r>
      <w:r w:rsidR="00366508" w:rsidRPr="00235450">
        <w:t xml:space="preserve"> have been passed</w:t>
      </w:r>
      <w:r w:rsidR="008A14BF" w:rsidRPr="00235450">
        <w:t>.</w:t>
      </w:r>
    </w:p>
    <w:p w14:paraId="3605E3C2" w14:textId="5F1E9566" w:rsidR="00436B84" w:rsidRPr="00235450" w:rsidRDefault="008A14BF" w:rsidP="00655907">
      <w:pPr>
        <w:ind w:left="567" w:hanging="283"/>
      </w:pPr>
      <w:r w:rsidRPr="00235450">
        <w:t>b.</w:t>
      </w:r>
      <w:r w:rsidRPr="00235450">
        <w:tab/>
      </w:r>
      <w:r w:rsidR="00366508" w:rsidRPr="00235450">
        <w:t>Contrary to the provisions in A</w:t>
      </w:r>
      <w:r w:rsidR="00B76572" w:rsidRPr="00235450">
        <w:t xml:space="preserve">rticle </w:t>
      </w:r>
      <w:r w:rsidR="00DD3D9D" w:rsidRPr="00235450">
        <w:t>37</w:t>
      </w:r>
      <w:r w:rsidR="00CB6B6D" w:rsidRPr="00235450">
        <w:t xml:space="preserve"> sub b</w:t>
      </w:r>
      <w:r w:rsidR="00B76572" w:rsidRPr="00235450">
        <w:t xml:space="preserve">, the </w:t>
      </w:r>
      <w:r w:rsidR="00213FA2" w:rsidRPr="00235450">
        <w:t>Examining Board</w:t>
      </w:r>
      <w:r w:rsidR="00F9546D" w:rsidRPr="00235450">
        <w:t xml:space="preserve"> </w:t>
      </w:r>
      <w:r w:rsidRPr="00235450">
        <w:t xml:space="preserve">can </w:t>
      </w:r>
      <w:r w:rsidR="00B76572" w:rsidRPr="00235450">
        <w:t>decide</w:t>
      </w:r>
      <w:r w:rsidRPr="00235450">
        <w:t xml:space="preserve"> that it </w:t>
      </w:r>
      <w:r w:rsidR="008556C1" w:rsidRPr="00235450">
        <w:t xml:space="preserve">is </w:t>
      </w:r>
      <w:r w:rsidRPr="00235450">
        <w:t xml:space="preserve">not necessary to pass all </w:t>
      </w:r>
      <w:r w:rsidR="007A6A40" w:rsidRPr="00235450">
        <w:t xml:space="preserve">interim </w:t>
      </w:r>
      <w:r w:rsidRPr="00235450">
        <w:t xml:space="preserve">examinations in order to pass the </w:t>
      </w:r>
      <w:r w:rsidR="00366508" w:rsidRPr="00235450">
        <w:t xml:space="preserve">final </w:t>
      </w:r>
      <w:r w:rsidRPr="00235450">
        <w:t>exam</w:t>
      </w:r>
      <w:r w:rsidR="003F6444" w:rsidRPr="00235450">
        <w:t>ination</w:t>
      </w:r>
      <w:r w:rsidRPr="00235450">
        <w:t xml:space="preserve">. The applicable regulations on this matter can be found in the </w:t>
      </w:r>
      <w:r w:rsidR="00681200" w:rsidRPr="00235450">
        <w:t xml:space="preserve">Rules and </w:t>
      </w:r>
      <w:r w:rsidRPr="00235450">
        <w:t>Regulations.</w:t>
      </w:r>
    </w:p>
    <w:p w14:paraId="1AFF687D" w14:textId="5F314D7A" w:rsidR="008A14BF" w:rsidRPr="00235450" w:rsidRDefault="008A14BF" w:rsidP="00655907">
      <w:pPr>
        <w:ind w:left="567" w:hanging="283"/>
      </w:pPr>
      <w:r w:rsidRPr="00235450">
        <w:t>c.</w:t>
      </w:r>
      <w:r w:rsidRPr="00235450">
        <w:tab/>
        <w:t xml:space="preserve">The </w:t>
      </w:r>
      <w:r w:rsidR="00F05E80" w:rsidRPr="00235450">
        <w:t xml:space="preserve">final </w:t>
      </w:r>
      <w:r w:rsidRPr="00235450">
        <w:t>exam</w:t>
      </w:r>
      <w:r w:rsidR="003F6444" w:rsidRPr="00235450">
        <w:t>ination</w:t>
      </w:r>
      <w:r w:rsidRPr="00235450">
        <w:t xml:space="preserve"> date is the date </w:t>
      </w:r>
      <w:r w:rsidR="00F05E80" w:rsidRPr="00235450">
        <w:t>on which</w:t>
      </w:r>
      <w:r w:rsidR="005E3D2B" w:rsidRPr="00235450">
        <w:t xml:space="preserve"> positive result of the last interim examination of the individual examination programme is entered into the student information system, or, when this date is later: the date of approval of the (altered) individual examination programme.</w:t>
      </w:r>
    </w:p>
    <w:p w14:paraId="5358432C" w14:textId="08CBF182" w:rsidR="008A14BF" w:rsidRPr="00235450" w:rsidRDefault="008A14BF" w:rsidP="00655907">
      <w:pPr>
        <w:ind w:left="567" w:hanging="283"/>
      </w:pPr>
      <w:r w:rsidRPr="00235450">
        <w:t>d.</w:t>
      </w:r>
      <w:r w:rsidRPr="00235450">
        <w:tab/>
        <w:t xml:space="preserve">Until the day before the last </w:t>
      </w:r>
      <w:r w:rsidR="008E58DE" w:rsidRPr="00235450">
        <w:t xml:space="preserve">interim </w:t>
      </w:r>
      <w:r w:rsidRPr="00235450">
        <w:t xml:space="preserve">examination of the individual examination programme </w:t>
      </w:r>
      <w:r w:rsidR="008E58DE" w:rsidRPr="00235450">
        <w:t xml:space="preserve">is taken </w:t>
      </w:r>
      <w:r w:rsidRPr="00235450">
        <w:t>or the thesis result</w:t>
      </w:r>
      <w:r w:rsidR="008E58DE" w:rsidRPr="00235450">
        <w:t xml:space="preserve"> is announced</w:t>
      </w:r>
      <w:r w:rsidRPr="00235450">
        <w:t xml:space="preserve">, </w:t>
      </w:r>
      <w:r w:rsidR="00B54FF6" w:rsidRPr="00235450">
        <w:t xml:space="preserve">the </w:t>
      </w:r>
      <w:r w:rsidRPr="00235450">
        <w:t>stude</w:t>
      </w:r>
      <w:r w:rsidR="004770EA" w:rsidRPr="00235450">
        <w:t xml:space="preserve">nt can apply to the </w:t>
      </w:r>
      <w:r w:rsidR="00213FA2" w:rsidRPr="00235450">
        <w:t>Examining Board</w:t>
      </w:r>
      <w:r w:rsidR="00F9546D" w:rsidRPr="00235450">
        <w:t xml:space="preserve"> </w:t>
      </w:r>
      <w:r w:rsidR="004770EA" w:rsidRPr="00235450">
        <w:t>for a</w:t>
      </w:r>
      <w:r w:rsidR="004721E7" w:rsidRPr="00235450">
        <w:t xml:space="preserve"> </w:t>
      </w:r>
      <w:r w:rsidR="004770EA" w:rsidRPr="00235450">
        <w:t>postponement of</w:t>
      </w:r>
      <w:r w:rsidRPr="00235450">
        <w:t xml:space="preserve"> the </w:t>
      </w:r>
      <w:r w:rsidR="008E58DE" w:rsidRPr="00235450">
        <w:t xml:space="preserve">final </w:t>
      </w:r>
      <w:r w:rsidRPr="00235450">
        <w:t>examination date, so that additional</w:t>
      </w:r>
      <w:r w:rsidR="00F05E80" w:rsidRPr="00235450">
        <w:t xml:space="preserve"> </w:t>
      </w:r>
      <w:r w:rsidR="00534EBE" w:rsidRPr="00235450">
        <w:t xml:space="preserve">courses </w:t>
      </w:r>
      <w:r w:rsidRPr="00235450">
        <w:t xml:space="preserve">can be added to the individual examination programme. The relevant procedure is outlined in the </w:t>
      </w:r>
      <w:r w:rsidR="00681200" w:rsidRPr="00235450">
        <w:t xml:space="preserve">Rules and </w:t>
      </w:r>
      <w:r w:rsidRPr="00235450">
        <w:t>Regulations.</w:t>
      </w:r>
    </w:p>
    <w:p w14:paraId="7C15DEED" w14:textId="5D9B1721" w:rsidR="008A14BF" w:rsidRPr="00235450" w:rsidRDefault="008A14BF" w:rsidP="00655907">
      <w:pPr>
        <w:ind w:left="567" w:hanging="283"/>
      </w:pPr>
      <w:r w:rsidRPr="00235450">
        <w:t>e.</w:t>
      </w:r>
      <w:r w:rsidRPr="00235450">
        <w:tab/>
        <w:t xml:space="preserve">After the </w:t>
      </w:r>
      <w:r w:rsidR="008E58DE" w:rsidRPr="00235450">
        <w:t xml:space="preserve">final </w:t>
      </w:r>
      <w:r w:rsidRPr="00235450">
        <w:t>exam</w:t>
      </w:r>
      <w:r w:rsidR="003F6444" w:rsidRPr="00235450">
        <w:t>ination</w:t>
      </w:r>
      <w:r w:rsidRPr="00235450">
        <w:t xml:space="preserve"> date</w:t>
      </w:r>
      <w:r w:rsidR="008E58DE" w:rsidRPr="00235450">
        <w:t>,</w:t>
      </w:r>
      <w:r w:rsidRPr="00235450">
        <w:t xml:space="preserve"> </w:t>
      </w:r>
      <w:r w:rsidR="00B54FF6" w:rsidRPr="00235450">
        <w:t xml:space="preserve">the </w:t>
      </w:r>
      <w:r w:rsidRPr="00235450">
        <w:t xml:space="preserve">student can remain enrolled and take </w:t>
      </w:r>
      <w:r w:rsidR="00557317" w:rsidRPr="00235450">
        <w:t>courses</w:t>
      </w:r>
      <w:r w:rsidR="0024738D" w:rsidRPr="00235450">
        <w:t xml:space="preserve">. </w:t>
      </w:r>
      <w:r w:rsidR="00B54FF6" w:rsidRPr="00235450">
        <w:t>He will</w:t>
      </w:r>
      <w:r w:rsidR="0024738D" w:rsidRPr="00235450">
        <w:t xml:space="preserve"> receive a certificate for such</w:t>
      </w:r>
      <w:r w:rsidR="008E58DE" w:rsidRPr="00235450">
        <w:t xml:space="preserve"> </w:t>
      </w:r>
      <w:r w:rsidR="00534EBE" w:rsidRPr="00235450">
        <w:t xml:space="preserve">courses </w:t>
      </w:r>
      <w:r w:rsidR="008E58DE" w:rsidRPr="00235450">
        <w:t>that are passed</w:t>
      </w:r>
      <w:r w:rsidR="0024738D" w:rsidRPr="00235450">
        <w:t>.</w:t>
      </w:r>
    </w:p>
    <w:p w14:paraId="6E16122C" w14:textId="77777777" w:rsidR="0024738D" w:rsidRPr="00235450" w:rsidRDefault="0024738D" w:rsidP="0024738D"/>
    <w:p w14:paraId="5FC4075C" w14:textId="77777777" w:rsidR="0024738D" w:rsidRPr="00235450" w:rsidRDefault="0024738D" w:rsidP="00F16FDB">
      <w:pPr>
        <w:pStyle w:val="Artikel"/>
        <w:rPr>
          <w:b/>
          <w:lang w:val="en-GB"/>
        </w:rPr>
      </w:pPr>
      <w:bookmarkStart w:id="30" w:name="_Ref519439116"/>
      <w:r w:rsidRPr="00235450">
        <w:rPr>
          <w:b/>
          <w:lang w:val="en-GB"/>
        </w:rPr>
        <w:t xml:space="preserve">The </w:t>
      </w:r>
      <w:r w:rsidR="00774619" w:rsidRPr="00235450">
        <w:rPr>
          <w:b/>
          <w:lang w:val="en-GB"/>
        </w:rPr>
        <w:t xml:space="preserve">diploma </w:t>
      </w:r>
      <w:r w:rsidRPr="00235450">
        <w:rPr>
          <w:b/>
          <w:lang w:val="en-GB"/>
        </w:rPr>
        <w:t>and the diploma supplement</w:t>
      </w:r>
      <w:bookmarkEnd w:id="30"/>
    </w:p>
    <w:p w14:paraId="7E5B4B7B" w14:textId="2F4C93E8" w:rsidR="0024738D" w:rsidRPr="00235450" w:rsidRDefault="0024738D" w:rsidP="00F1333D">
      <w:pPr>
        <w:numPr>
          <w:ilvl w:val="0"/>
          <w:numId w:val="16"/>
        </w:numPr>
        <w:contextualSpacing/>
      </w:pPr>
      <w:r w:rsidRPr="00235450">
        <w:t xml:space="preserve">The </w:t>
      </w:r>
      <w:r w:rsidR="00AA52E2" w:rsidRPr="00235450">
        <w:t>Examining Board</w:t>
      </w:r>
      <w:r w:rsidRPr="00235450">
        <w:t xml:space="preserve"> issues the student with a </w:t>
      </w:r>
      <w:r w:rsidR="00774619" w:rsidRPr="00235450">
        <w:t xml:space="preserve">diploma </w:t>
      </w:r>
      <w:r w:rsidRPr="00235450">
        <w:t xml:space="preserve">and a diploma supplement, as proof of successful completion of the </w:t>
      </w:r>
      <w:r w:rsidR="008E58DE" w:rsidRPr="00235450">
        <w:t xml:space="preserve">final </w:t>
      </w:r>
      <w:r w:rsidRPr="00235450">
        <w:t>exam</w:t>
      </w:r>
      <w:r w:rsidR="00031C51" w:rsidRPr="00235450">
        <w:t>ination</w:t>
      </w:r>
      <w:r w:rsidRPr="00235450">
        <w:t>.</w:t>
      </w:r>
    </w:p>
    <w:p w14:paraId="0F6B9F94" w14:textId="3AF7DA8E" w:rsidR="0024738D" w:rsidRPr="00235450" w:rsidRDefault="00C67D3A" w:rsidP="00F1333D">
      <w:pPr>
        <w:numPr>
          <w:ilvl w:val="0"/>
          <w:numId w:val="16"/>
        </w:numPr>
        <w:contextualSpacing/>
      </w:pPr>
      <w:r w:rsidRPr="00235450">
        <w:t>The master's</w:t>
      </w:r>
      <w:r w:rsidR="0024738D" w:rsidRPr="00235450">
        <w:t xml:space="preserve"> </w:t>
      </w:r>
      <w:r w:rsidR="00774619" w:rsidRPr="00235450">
        <w:t xml:space="preserve">diploma </w:t>
      </w:r>
      <w:r w:rsidR="008E58DE" w:rsidRPr="00235450">
        <w:t xml:space="preserve">states </w:t>
      </w:r>
      <w:r w:rsidR="0024738D" w:rsidRPr="00235450">
        <w:t>at least</w:t>
      </w:r>
      <w:r w:rsidR="008E58DE" w:rsidRPr="00235450">
        <w:t xml:space="preserve"> the following</w:t>
      </w:r>
      <w:r w:rsidR="0024738D" w:rsidRPr="00235450">
        <w:t>:</w:t>
      </w:r>
      <w:r w:rsidR="00225D45" w:rsidRPr="00235450">
        <w:t xml:space="preserve"> the name of the partaking universities,</w:t>
      </w:r>
      <w:r w:rsidR="0024738D" w:rsidRPr="00235450">
        <w:t xml:space="preserve"> the </w:t>
      </w:r>
      <w:r w:rsidR="00B76572" w:rsidRPr="00235450">
        <w:t xml:space="preserve">name of the </w:t>
      </w:r>
      <w:r w:rsidR="00B54FF6" w:rsidRPr="00235450">
        <w:t xml:space="preserve">joint </w:t>
      </w:r>
      <w:r w:rsidR="0024738D" w:rsidRPr="00235450">
        <w:t xml:space="preserve">programme, the </w:t>
      </w:r>
      <w:r w:rsidR="008556C1" w:rsidRPr="00235450">
        <w:t>degree</w:t>
      </w:r>
      <w:r w:rsidR="0024738D" w:rsidRPr="00235450">
        <w:t xml:space="preserve">, the </w:t>
      </w:r>
      <w:r w:rsidR="008E58DE" w:rsidRPr="00235450">
        <w:t xml:space="preserve">final </w:t>
      </w:r>
      <w:r w:rsidR="0024738D" w:rsidRPr="00235450">
        <w:t>exam</w:t>
      </w:r>
      <w:r w:rsidR="00031C51" w:rsidRPr="00235450">
        <w:t>ination</w:t>
      </w:r>
      <w:r w:rsidR="0024738D" w:rsidRPr="00235450">
        <w:t xml:space="preserve"> date and, </w:t>
      </w:r>
      <w:r w:rsidR="008E58DE" w:rsidRPr="00235450">
        <w:t xml:space="preserve">if </w:t>
      </w:r>
      <w:r w:rsidR="0024738D" w:rsidRPr="00235450">
        <w:t xml:space="preserve">applicable: the specialisation and the cum laude </w:t>
      </w:r>
      <w:r w:rsidR="008E58DE" w:rsidRPr="00235450">
        <w:t>designation</w:t>
      </w:r>
      <w:r w:rsidR="0024738D" w:rsidRPr="00235450">
        <w:t>.</w:t>
      </w:r>
    </w:p>
    <w:p w14:paraId="2ED5A7D7" w14:textId="6B5896B7" w:rsidR="0024738D" w:rsidRPr="00235450" w:rsidRDefault="0024738D" w:rsidP="00F1333D">
      <w:pPr>
        <w:numPr>
          <w:ilvl w:val="0"/>
          <w:numId w:val="16"/>
        </w:numPr>
        <w:contextualSpacing/>
      </w:pPr>
      <w:r w:rsidRPr="00235450">
        <w:t>The diploma supplement contains at least the name of the</w:t>
      </w:r>
      <w:r w:rsidR="00BE1D16" w:rsidRPr="00235450">
        <w:t xml:space="preserve"> partaking</w:t>
      </w:r>
      <w:r w:rsidRPr="00235450">
        <w:t xml:space="preserve"> </w:t>
      </w:r>
      <w:r w:rsidR="00B54FF6" w:rsidRPr="00235450">
        <w:t>universities</w:t>
      </w:r>
      <w:r w:rsidRPr="00235450">
        <w:t xml:space="preserve"> </w:t>
      </w:r>
      <w:r w:rsidR="008E58DE" w:rsidRPr="00235450">
        <w:t xml:space="preserve">and </w:t>
      </w:r>
      <w:r w:rsidRPr="00235450">
        <w:t>the name, the con</w:t>
      </w:r>
      <w:r w:rsidR="00567E0D" w:rsidRPr="00235450">
        <w:t xml:space="preserve">tent and the study load of the </w:t>
      </w:r>
      <w:r w:rsidR="00B54FF6" w:rsidRPr="00235450">
        <w:t xml:space="preserve">joint </w:t>
      </w:r>
      <w:r w:rsidR="00566460" w:rsidRPr="00235450">
        <w:t>programme</w:t>
      </w:r>
      <w:r w:rsidR="00567E0D" w:rsidRPr="00235450">
        <w:t xml:space="preserve">. The supplement is drawn up in English and is </w:t>
      </w:r>
      <w:r w:rsidR="00B76572" w:rsidRPr="00235450">
        <w:t>in accordance with</w:t>
      </w:r>
      <w:r w:rsidR="00567E0D" w:rsidRPr="00235450">
        <w:t xml:space="preserve"> the standard </w:t>
      </w:r>
      <w:r w:rsidR="00B76572" w:rsidRPr="00235450">
        <w:t xml:space="preserve">European </w:t>
      </w:r>
      <w:r w:rsidR="00567E0D" w:rsidRPr="00235450">
        <w:t>format.</w:t>
      </w:r>
    </w:p>
    <w:p w14:paraId="5594A9FD" w14:textId="77777777" w:rsidR="00567E0D" w:rsidRPr="00235450" w:rsidRDefault="00567E0D" w:rsidP="00567E0D"/>
    <w:p w14:paraId="434A224E" w14:textId="77777777" w:rsidR="00567E0D" w:rsidRPr="00235450" w:rsidRDefault="00567E0D" w:rsidP="00F16FDB">
      <w:pPr>
        <w:pStyle w:val="Artikel"/>
        <w:rPr>
          <w:b/>
          <w:lang w:val="en-GB"/>
        </w:rPr>
      </w:pPr>
      <w:r w:rsidRPr="00235450">
        <w:rPr>
          <w:b/>
          <w:lang w:val="en-GB"/>
        </w:rPr>
        <w:t>Cum laude</w:t>
      </w:r>
    </w:p>
    <w:p w14:paraId="0E12EA8C" w14:textId="3D54FE34" w:rsidR="008556C1" w:rsidRPr="00235450" w:rsidRDefault="00C8281A" w:rsidP="00567E0D">
      <w:r w:rsidRPr="00235450">
        <w:t>I</w:t>
      </w:r>
      <w:r w:rsidR="008E58DE" w:rsidRPr="00235450">
        <w:t xml:space="preserve">f </w:t>
      </w:r>
      <w:r w:rsidRPr="00235450">
        <w:t>the final exam</w:t>
      </w:r>
      <w:r w:rsidR="00031C51" w:rsidRPr="00235450">
        <w:t>ination</w:t>
      </w:r>
      <w:r w:rsidRPr="00235450">
        <w:t xml:space="preserve"> shows that </w:t>
      </w:r>
      <w:r w:rsidR="008E58DE" w:rsidRPr="00235450">
        <w:t xml:space="preserve">the student </w:t>
      </w:r>
      <w:r w:rsidRPr="00235450">
        <w:t xml:space="preserve">has </w:t>
      </w:r>
      <w:r w:rsidR="008E58DE" w:rsidRPr="00235450">
        <w:t>demonstrate</w:t>
      </w:r>
      <w:r w:rsidRPr="00235450">
        <w:t>d</w:t>
      </w:r>
      <w:r w:rsidR="008E58DE" w:rsidRPr="00235450">
        <w:t xml:space="preserve"> exceptional proficiency</w:t>
      </w:r>
      <w:r w:rsidR="00567E0D" w:rsidRPr="00235450">
        <w:t xml:space="preserve">, the </w:t>
      </w:r>
      <w:r w:rsidR="00213FA2" w:rsidRPr="00235450">
        <w:t>Examining Board</w:t>
      </w:r>
      <w:r w:rsidR="00567E0D" w:rsidRPr="00235450">
        <w:t xml:space="preserve"> can award the </w:t>
      </w:r>
      <w:r w:rsidR="008E58DE" w:rsidRPr="00235450">
        <w:t xml:space="preserve">designation </w:t>
      </w:r>
      <w:r w:rsidR="00567E0D" w:rsidRPr="00235450">
        <w:t xml:space="preserve">‘cum laude’. </w:t>
      </w:r>
      <w:r w:rsidR="008E58DE" w:rsidRPr="00235450">
        <w:t>To this end, t</w:t>
      </w:r>
      <w:r w:rsidR="00567E0D" w:rsidRPr="00235450">
        <w:t xml:space="preserve">he </w:t>
      </w:r>
      <w:r w:rsidR="00AA52E2" w:rsidRPr="00235450">
        <w:t>Examining Board</w:t>
      </w:r>
      <w:r w:rsidR="00567E0D" w:rsidRPr="00235450">
        <w:t xml:space="preserve"> follows the </w:t>
      </w:r>
      <w:r w:rsidR="008E58DE" w:rsidRPr="00235450">
        <w:t xml:space="preserve">corresponding </w:t>
      </w:r>
      <w:r w:rsidR="00567E0D" w:rsidRPr="00235450">
        <w:t xml:space="preserve">procedure in the </w:t>
      </w:r>
      <w:r w:rsidR="00681200" w:rsidRPr="00235450">
        <w:t xml:space="preserve">Rules and </w:t>
      </w:r>
      <w:r w:rsidR="00567E0D" w:rsidRPr="00235450">
        <w:t>Regulations.</w:t>
      </w:r>
    </w:p>
    <w:p w14:paraId="00A8E1D1" w14:textId="77777777" w:rsidR="006D3D1B" w:rsidRPr="00235450" w:rsidRDefault="006D3D1B" w:rsidP="00567E0D"/>
    <w:p w14:paraId="06BCB908" w14:textId="77777777" w:rsidR="00567E0D" w:rsidRPr="00235450" w:rsidRDefault="00567E0D" w:rsidP="00567E0D">
      <w:r w:rsidRPr="00235450">
        <w:t xml:space="preserve"> </w:t>
      </w:r>
    </w:p>
    <w:p w14:paraId="111315EA" w14:textId="13F73255" w:rsidR="00567E0D" w:rsidRPr="00235450" w:rsidRDefault="00C8281A" w:rsidP="00F1333D">
      <w:pPr>
        <w:pStyle w:val="Kop1"/>
        <w:numPr>
          <w:ilvl w:val="0"/>
          <w:numId w:val="30"/>
        </w:numPr>
      </w:pPr>
      <w:bookmarkStart w:id="31" w:name="_Toc54257559"/>
      <w:r w:rsidRPr="00235450">
        <w:t xml:space="preserve">Language used for education </w:t>
      </w:r>
      <w:r w:rsidR="00567E0D" w:rsidRPr="00235450">
        <w:t xml:space="preserve">and </w:t>
      </w:r>
      <w:r w:rsidRPr="00235450">
        <w:t xml:space="preserve">interim </w:t>
      </w:r>
      <w:r w:rsidR="00567E0D" w:rsidRPr="00235450">
        <w:t>examination</w:t>
      </w:r>
      <w:r w:rsidRPr="00235450">
        <w:t>s</w:t>
      </w:r>
      <w:bookmarkEnd w:id="31"/>
      <w:r w:rsidR="00567E0D" w:rsidRPr="00235450">
        <w:t xml:space="preserve"> </w:t>
      </w:r>
    </w:p>
    <w:p w14:paraId="2A54ADC5" w14:textId="5617F062" w:rsidR="00567E0D" w:rsidRPr="00235450" w:rsidRDefault="00DA78B1" w:rsidP="008556C1">
      <w:pPr>
        <w:pStyle w:val="Artikel"/>
        <w:rPr>
          <w:b/>
          <w:lang w:val="en-GB"/>
        </w:rPr>
      </w:pPr>
      <w:r w:rsidRPr="00235450">
        <w:rPr>
          <w:b/>
          <w:lang w:val="en-GB"/>
        </w:rPr>
        <w:t xml:space="preserve">Language used </w:t>
      </w:r>
      <w:r w:rsidR="00C8281A" w:rsidRPr="00235450">
        <w:rPr>
          <w:b/>
          <w:lang w:val="en-GB"/>
        </w:rPr>
        <w:t xml:space="preserve">for </w:t>
      </w:r>
      <w:r w:rsidR="00B76572" w:rsidRPr="00235450">
        <w:rPr>
          <w:b/>
          <w:lang w:val="en-GB"/>
        </w:rPr>
        <w:t>education</w:t>
      </w:r>
      <w:r w:rsidRPr="00235450">
        <w:rPr>
          <w:b/>
          <w:lang w:val="en-GB"/>
        </w:rPr>
        <w:t xml:space="preserve"> and examination</w:t>
      </w:r>
      <w:r w:rsidR="00B54FF6" w:rsidRPr="00235450">
        <w:rPr>
          <w:b/>
          <w:lang w:val="en-GB"/>
        </w:rPr>
        <w:t>s</w:t>
      </w:r>
    </w:p>
    <w:p w14:paraId="0D9B3290" w14:textId="6E61CFDD" w:rsidR="00567E0D" w:rsidRPr="00235450" w:rsidRDefault="00B54FF6" w:rsidP="00567E0D">
      <w:r w:rsidRPr="00235450">
        <w:t>As</w:t>
      </w:r>
      <w:r w:rsidR="00F9546D" w:rsidRPr="00235450">
        <w:t xml:space="preserve"> t</w:t>
      </w:r>
      <w:r w:rsidR="00DA78B1" w:rsidRPr="00235450">
        <w:t xml:space="preserve">he </w:t>
      </w:r>
      <w:r w:rsidR="000A1F66" w:rsidRPr="00235450">
        <w:t xml:space="preserve">programme </w:t>
      </w:r>
      <w:r w:rsidR="00DA78B1" w:rsidRPr="00235450">
        <w:t xml:space="preserve">is </w:t>
      </w:r>
      <w:r w:rsidR="000A1F66" w:rsidRPr="00235450">
        <w:t xml:space="preserve">taught </w:t>
      </w:r>
      <w:r w:rsidR="00DA78B1" w:rsidRPr="00235450">
        <w:t>in English</w:t>
      </w:r>
      <w:r w:rsidR="00F9546D" w:rsidRPr="00235450">
        <w:t>,</w:t>
      </w:r>
      <w:r w:rsidR="00BE1D16" w:rsidRPr="00235450">
        <w:t xml:space="preserve"> </w:t>
      </w:r>
      <w:r w:rsidR="00F9546D" w:rsidRPr="00235450">
        <w:t>a</w:t>
      </w:r>
      <w:r w:rsidR="00BE1D16" w:rsidRPr="00235450">
        <w:t>ll interim examinations, including the writing of all reports and theses and all communication will be in English.</w:t>
      </w:r>
      <w:r w:rsidR="00DA78B1" w:rsidRPr="00235450">
        <w:t xml:space="preserve"> </w:t>
      </w:r>
    </w:p>
    <w:p w14:paraId="57979F63" w14:textId="52097AB0" w:rsidR="00B54FF6" w:rsidRPr="00235450" w:rsidRDefault="00B54FF6" w:rsidP="00567E0D"/>
    <w:p w14:paraId="50B48CAD" w14:textId="55CCC3EB" w:rsidR="00B54FF6" w:rsidRPr="00235450" w:rsidRDefault="00B54FF6" w:rsidP="00B54FF6">
      <w:pPr>
        <w:pStyle w:val="Artikel"/>
        <w:rPr>
          <w:b/>
        </w:rPr>
      </w:pPr>
      <w:r w:rsidRPr="00235450">
        <w:rPr>
          <w:b/>
        </w:rPr>
        <w:lastRenderedPageBreak/>
        <w:t xml:space="preserve">Code of </w:t>
      </w:r>
      <w:proofErr w:type="spellStart"/>
      <w:r w:rsidRPr="00235450">
        <w:rPr>
          <w:b/>
        </w:rPr>
        <w:t>Conduct</w:t>
      </w:r>
      <w:proofErr w:type="spellEnd"/>
      <w:r w:rsidRPr="00235450">
        <w:rPr>
          <w:b/>
        </w:rPr>
        <w:t xml:space="preserve"> </w:t>
      </w:r>
      <w:proofErr w:type="spellStart"/>
      <w:r w:rsidRPr="00235450">
        <w:rPr>
          <w:b/>
        </w:rPr>
        <w:t>Foreign</w:t>
      </w:r>
      <w:proofErr w:type="spellEnd"/>
      <w:r w:rsidRPr="00235450">
        <w:rPr>
          <w:b/>
        </w:rPr>
        <w:t xml:space="preserve"> </w:t>
      </w:r>
      <w:proofErr w:type="spellStart"/>
      <w:r w:rsidRPr="00235450">
        <w:rPr>
          <w:b/>
        </w:rPr>
        <w:t>Languages</w:t>
      </w:r>
      <w:proofErr w:type="spellEnd"/>
    </w:p>
    <w:p w14:paraId="15EF898B" w14:textId="1F515939" w:rsidR="00DA78B1" w:rsidRPr="00235450" w:rsidRDefault="00B54FF6" w:rsidP="00DA78B1">
      <w:bookmarkStart w:id="32" w:name="_Toc385260794"/>
      <w:r w:rsidRPr="00235450">
        <w:t xml:space="preserve">The WU Code of </w:t>
      </w:r>
      <w:r w:rsidR="006D3D1B" w:rsidRPr="00235450">
        <w:t>C</w:t>
      </w:r>
      <w:r w:rsidRPr="00235450">
        <w:t>onduct Foreign Languages is applicable</w:t>
      </w:r>
      <w:r w:rsidR="006D3D1B" w:rsidRPr="00235450">
        <w:t xml:space="preserve">, which can be found in the </w:t>
      </w:r>
      <w:hyperlink r:id="rId16" w:history="1">
        <w:r w:rsidR="006D3D1B" w:rsidRPr="00235450">
          <w:rPr>
            <w:rStyle w:val="Hyperlink"/>
          </w:rPr>
          <w:t xml:space="preserve">Student Charter </w:t>
        </w:r>
      </w:hyperlink>
      <w:r w:rsidR="006D3D1B" w:rsidRPr="00235450">
        <w:t xml:space="preserve">under “Education &amp; research”. </w:t>
      </w:r>
    </w:p>
    <w:p w14:paraId="77F19975" w14:textId="2745E3E3" w:rsidR="009C3E58" w:rsidRPr="00235450" w:rsidRDefault="009C3E58" w:rsidP="00DA78B1"/>
    <w:p w14:paraId="3F444B57" w14:textId="77777777" w:rsidR="006D3D1B" w:rsidRPr="00235450" w:rsidRDefault="006D3D1B" w:rsidP="00DA78B1"/>
    <w:p w14:paraId="217C5B0F" w14:textId="54DD8192" w:rsidR="00DA78B1" w:rsidRPr="00235450" w:rsidRDefault="00DA78B1" w:rsidP="00F1333D">
      <w:pPr>
        <w:pStyle w:val="Kop1"/>
        <w:numPr>
          <w:ilvl w:val="0"/>
          <w:numId w:val="30"/>
        </w:numPr>
      </w:pPr>
      <w:bookmarkStart w:id="33" w:name="_Toc385260787"/>
      <w:bookmarkStart w:id="34" w:name="_Toc54257560"/>
      <w:bookmarkEnd w:id="32"/>
      <w:r w:rsidRPr="00235450">
        <w:t>Studying with a disability or chronic illness</w:t>
      </w:r>
      <w:bookmarkEnd w:id="33"/>
      <w:bookmarkEnd w:id="34"/>
    </w:p>
    <w:p w14:paraId="3ABE25D1" w14:textId="77777777" w:rsidR="00213915" w:rsidRPr="00235450" w:rsidRDefault="00213915" w:rsidP="00523E32">
      <w:pPr>
        <w:pStyle w:val="Artikel"/>
        <w:rPr>
          <w:b/>
          <w:lang w:val="en-GB"/>
        </w:rPr>
      </w:pPr>
      <w:r w:rsidRPr="00235450">
        <w:rPr>
          <w:b/>
          <w:lang w:val="en-GB"/>
        </w:rPr>
        <w:t>Ad</w:t>
      </w:r>
      <w:r w:rsidR="0034335B" w:rsidRPr="00235450">
        <w:rPr>
          <w:b/>
          <w:lang w:val="en-GB"/>
        </w:rPr>
        <w:t xml:space="preserve">aptations </w:t>
      </w:r>
      <w:r w:rsidR="004770EA" w:rsidRPr="00235450">
        <w:rPr>
          <w:b/>
          <w:lang w:val="en-GB"/>
        </w:rPr>
        <w:t>to</w:t>
      </w:r>
      <w:r w:rsidR="004721E7" w:rsidRPr="00235450">
        <w:rPr>
          <w:b/>
          <w:lang w:val="en-GB"/>
        </w:rPr>
        <w:t xml:space="preserve"> </w:t>
      </w:r>
      <w:r w:rsidR="0034335B" w:rsidRPr="00235450">
        <w:rPr>
          <w:b/>
          <w:lang w:val="en-GB"/>
        </w:rPr>
        <w:t xml:space="preserve">education </w:t>
      </w:r>
      <w:r w:rsidRPr="00235450">
        <w:rPr>
          <w:b/>
          <w:lang w:val="en-GB"/>
        </w:rPr>
        <w:t xml:space="preserve">and </w:t>
      </w:r>
      <w:r w:rsidR="00523E32" w:rsidRPr="00235450">
        <w:rPr>
          <w:b/>
          <w:lang w:val="en-GB"/>
        </w:rPr>
        <w:t xml:space="preserve">interim </w:t>
      </w:r>
      <w:r w:rsidRPr="00235450">
        <w:rPr>
          <w:b/>
          <w:lang w:val="en-GB"/>
        </w:rPr>
        <w:t>examinations</w:t>
      </w:r>
    </w:p>
    <w:p w14:paraId="2BBD94D3" w14:textId="551CE55F" w:rsidR="00213915" w:rsidRPr="00235450" w:rsidRDefault="009C3E58" w:rsidP="00F1333D">
      <w:pPr>
        <w:numPr>
          <w:ilvl w:val="0"/>
          <w:numId w:val="18"/>
        </w:numPr>
        <w:contextualSpacing/>
      </w:pPr>
      <w:r w:rsidRPr="00235450">
        <w:t>The student</w:t>
      </w:r>
      <w:r w:rsidR="00213915" w:rsidRPr="00235450">
        <w:t xml:space="preserve"> with a disability or chronic illne</w:t>
      </w:r>
      <w:r w:rsidR="004770EA" w:rsidRPr="00235450">
        <w:t xml:space="preserve">ss can apply for </w:t>
      </w:r>
      <w:r w:rsidR="0034335B" w:rsidRPr="00235450">
        <w:t xml:space="preserve">adaptations </w:t>
      </w:r>
      <w:r w:rsidR="004770EA" w:rsidRPr="00235450">
        <w:t xml:space="preserve">to </w:t>
      </w:r>
      <w:r w:rsidR="00213915" w:rsidRPr="00235450">
        <w:t xml:space="preserve">the </w:t>
      </w:r>
      <w:r w:rsidR="0034335B" w:rsidRPr="00235450">
        <w:t>education</w:t>
      </w:r>
      <w:r w:rsidR="00213915" w:rsidRPr="00235450">
        <w:t xml:space="preserve">, the </w:t>
      </w:r>
      <w:r w:rsidR="00523E32" w:rsidRPr="00235450">
        <w:t xml:space="preserve">interim </w:t>
      </w:r>
      <w:r w:rsidR="00213915" w:rsidRPr="00235450">
        <w:t>examinations, internships and practical assignments.</w:t>
      </w:r>
      <w:r w:rsidR="004770EA" w:rsidRPr="00235450">
        <w:t xml:space="preserve"> </w:t>
      </w:r>
      <w:r w:rsidR="00523E32" w:rsidRPr="00235450">
        <w:t>A</w:t>
      </w:r>
      <w:r w:rsidR="00213915" w:rsidRPr="00235450">
        <w:t xml:space="preserve">s far as possible, </w:t>
      </w:r>
      <w:r w:rsidR="0034335B" w:rsidRPr="00235450">
        <w:t xml:space="preserve">such adaptations </w:t>
      </w:r>
      <w:r w:rsidR="00213915" w:rsidRPr="00235450">
        <w:t xml:space="preserve">will be tailored to the needs of the individual student. The </w:t>
      </w:r>
      <w:r w:rsidR="0034335B" w:rsidRPr="00235450">
        <w:t xml:space="preserve">adaptations </w:t>
      </w:r>
      <w:r w:rsidR="00CE559B" w:rsidRPr="00235450">
        <w:t>shall not</w:t>
      </w:r>
      <w:r w:rsidR="00213915" w:rsidRPr="00235450">
        <w:t xml:space="preserve"> </w:t>
      </w:r>
      <w:r w:rsidRPr="00235450">
        <w:t xml:space="preserve">detract from the </w:t>
      </w:r>
      <w:r w:rsidR="00213915" w:rsidRPr="00235450">
        <w:t xml:space="preserve">learning outcomes </w:t>
      </w:r>
      <w:r w:rsidRPr="00235450">
        <w:t xml:space="preserve">of the course or of the programme </w:t>
      </w:r>
      <w:r w:rsidR="00213915" w:rsidRPr="00235450">
        <w:t>and the</w:t>
      </w:r>
      <w:r w:rsidR="00523E32" w:rsidRPr="00235450">
        <w:t xml:space="preserve"> assessment</w:t>
      </w:r>
      <w:r w:rsidRPr="00235450">
        <w:t>.</w:t>
      </w:r>
      <w:r w:rsidR="00213915" w:rsidRPr="00235450">
        <w:t xml:space="preserve"> The procedures and facilities are </w:t>
      </w:r>
      <w:r w:rsidR="00A11F8E" w:rsidRPr="00235450">
        <w:t xml:space="preserve">outlined in the </w:t>
      </w:r>
      <w:r w:rsidR="006F0DC4" w:rsidRPr="00235450">
        <w:t>regulations</w:t>
      </w:r>
      <w:r w:rsidR="0034335B" w:rsidRPr="00235450">
        <w:t xml:space="preserve"> ‘</w:t>
      </w:r>
      <w:r w:rsidR="00A11F8E" w:rsidRPr="00235450">
        <w:t xml:space="preserve">Studying with a </w:t>
      </w:r>
      <w:r w:rsidR="0034335B" w:rsidRPr="00235450">
        <w:t>D</w:t>
      </w:r>
      <w:r w:rsidR="00A11F8E" w:rsidRPr="00235450">
        <w:t>isability</w:t>
      </w:r>
      <w:r w:rsidR="0034335B" w:rsidRPr="00235450">
        <w:t>’</w:t>
      </w:r>
      <w:r w:rsidR="00A11F8E" w:rsidRPr="00235450">
        <w:t xml:space="preserve"> </w:t>
      </w:r>
      <w:r w:rsidRPr="00235450">
        <w:t>which</w:t>
      </w:r>
      <w:r w:rsidR="00A11F8E" w:rsidRPr="00235450">
        <w:t xml:space="preserve"> can be found the </w:t>
      </w:r>
      <w:hyperlink r:id="rId17" w:history="1">
        <w:r w:rsidR="003419FC" w:rsidRPr="00235450">
          <w:rPr>
            <w:rStyle w:val="Hyperlink"/>
          </w:rPr>
          <w:t>Student Charter.</w:t>
        </w:r>
      </w:hyperlink>
      <w:r w:rsidR="00213915" w:rsidRPr="00235450">
        <w:t xml:space="preserve"> </w:t>
      </w:r>
    </w:p>
    <w:p w14:paraId="23032A96" w14:textId="28D702DD" w:rsidR="00213915" w:rsidRDefault="00F533E9" w:rsidP="00F1333D">
      <w:pPr>
        <w:numPr>
          <w:ilvl w:val="0"/>
          <w:numId w:val="18"/>
        </w:numPr>
        <w:contextualSpacing/>
      </w:pPr>
      <w:r w:rsidRPr="00235450">
        <w:t xml:space="preserve">After seeking advice </w:t>
      </w:r>
      <w:r w:rsidR="003419FC" w:rsidRPr="00235450">
        <w:t>from</w:t>
      </w:r>
      <w:r w:rsidRPr="00235450">
        <w:t xml:space="preserve"> the Study </w:t>
      </w:r>
      <w:r w:rsidR="004A04F9" w:rsidRPr="00235450">
        <w:t>C</w:t>
      </w:r>
      <w:r w:rsidRPr="00235450">
        <w:t xml:space="preserve">ounselling </w:t>
      </w:r>
      <w:r w:rsidR="004A04F9" w:rsidRPr="00235450">
        <w:t>S</w:t>
      </w:r>
      <w:r w:rsidRPr="00235450">
        <w:t>ervices, t</w:t>
      </w:r>
      <w:r w:rsidR="00A11F8E" w:rsidRPr="00235450">
        <w:t xml:space="preserve">he </w:t>
      </w:r>
      <w:r w:rsidR="00523E32" w:rsidRPr="00235450">
        <w:t xml:space="preserve">Examining </w:t>
      </w:r>
      <w:r w:rsidR="00A11F8E" w:rsidRPr="00235450">
        <w:t xml:space="preserve">Board decides on behalf of the </w:t>
      </w:r>
      <w:r w:rsidR="00BE1D16" w:rsidRPr="00235450">
        <w:t xml:space="preserve">joint </w:t>
      </w:r>
      <w:r w:rsidR="00B1177B" w:rsidRPr="00235450">
        <w:t>partner institutions</w:t>
      </w:r>
      <w:r w:rsidRPr="00235450">
        <w:t xml:space="preserve"> on </w:t>
      </w:r>
      <w:r w:rsidR="0034335B" w:rsidRPr="00235450">
        <w:t xml:space="preserve">adaptations </w:t>
      </w:r>
      <w:r w:rsidRPr="00235450">
        <w:t>to educational facilities and examinations.</w:t>
      </w:r>
    </w:p>
    <w:p w14:paraId="5B95A5E9" w14:textId="665CB630" w:rsidR="00922A42" w:rsidRPr="00235450" w:rsidRDefault="00922A42" w:rsidP="00922A42">
      <w:pPr>
        <w:pStyle w:val="Lijstalinea"/>
        <w:numPr>
          <w:ilvl w:val="0"/>
          <w:numId w:val="18"/>
        </w:numPr>
      </w:pPr>
      <w:r w:rsidRPr="00922A42">
        <w:t>A student with a right to facilities during education and/or interim examinations is only entitled to these facilities if the student indicates before the application deadline for the course and/or interim examination in OSIRIS that he wants to make use of the facilities during th</w:t>
      </w:r>
      <w:r w:rsidR="008B3F12">
        <w:t>at</w:t>
      </w:r>
      <w:r w:rsidRPr="00922A42">
        <w:t xml:space="preserve"> course.</w:t>
      </w:r>
    </w:p>
    <w:p w14:paraId="1BF0E73B" w14:textId="77777777" w:rsidR="006D3D1B" w:rsidRPr="00235450" w:rsidRDefault="006D3D1B" w:rsidP="006D3D1B">
      <w:pPr>
        <w:ind w:left="720"/>
        <w:contextualSpacing/>
      </w:pPr>
    </w:p>
    <w:p w14:paraId="4B857E5B" w14:textId="77777777" w:rsidR="004A04F9" w:rsidRPr="00235450" w:rsidRDefault="004A04F9" w:rsidP="004A04F9">
      <w:pPr>
        <w:ind w:left="720"/>
        <w:contextualSpacing/>
      </w:pPr>
    </w:p>
    <w:p w14:paraId="5B4D35EF" w14:textId="5DEB1F09" w:rsidR="00F533E9" w:rsidRPr="00235450" w:rsidRDefault="00F533E9" w:rsidP="00F1333D">
      <w:pPr>
        <w:pStyle w:val="Kop1"/>
        <w:numPr>
          <w:ilvl w:val="0"/>
          <w:numId w:val="30"/>
        </w:numPr>
      </w:pPr>
      <w:bookmarkStart w:id="35" w:name="_Toc385260788"/>
      <w:bookmarkStart w:id="36" w:name="_Toc54257561"/>
      <w:r w:rsidRPr="00235450">
        <w:t xml:space="preserve">Study </w:t>
      </w:r>
      <w:r w:rsidR="00CE5CF5" w:rsidRPr="00235450">
        <w:t>progress</w:t>
      </w:r>
      <w:r w:rsidRPr="00235450">
        <w:t xml:space="preserve"> and counselling</w:t>
      </w:r>
      <w:bookmarkEnd w:id="35"/>
      <w:bookmarkEnd w:id="36"/>
    </w:p>
    <w:p w14:paraId="3C1AF99A" w14:textId="77777777" w:rsidR="00F533E9" w:rsidRPr="00235450" w:rsidRDefault="00F533E9" w:rsidP="004A04F9">
      <w:pPr>
        <w:pStyle w:val="Artikel"/>
        <w:rPr>
          <w:b/>
          <w:lang w:val="en-GB"/>
        </w:rPr>
      </w:pPr>
      <w:r w:rsidRPr="00235450">
        <w:rPr>
          <w:b/>
          <w:lang w:val="en-GB"/>
        </w:rPr>
        <w:t xml:space="preserve">Study </w:t>
      </w:r>
      <w:r w:rsidR="00B76572" w:rsidRPr="00235450">
        <w:rPr>
          <w:b/>
          <w:lang w:val="en-GB"/>
        </w:rPr>
        <w:t>progress</w:t>
      </w:r>
      <w:r w:rsidRPr="00235450">
        <w:rPr>
          <w:b/>
          <w:lang w:val="en-GB"/>
        </w:rPr>
        <w:t xml:space="preserve"> and study counselling in general </w:t>
      </w:r>
    </w:p>
    <w:p w14:paraId="71E6525F" w14:textId="47670553" w:rsidR="00213915" w:rsidRPr="00235450" w:rsidRDefault="00A050A6" w:rsidP="00F1333D">
      <w:pPr>
        <w:numPr>
          <w:ilvl w:val="0"/>
          <w:numId w:val="19"/>
        </w:numPr>
        <w:contextualSpacing/>
      </w:pPr>
      <w:r w:rsidRPr="00235450">
        <w:t xml:space="preserve">The </w:t>
      </w:r>
      <w:r w:rsidR="00BE1D16" w:rsidRPr="00235450">
        <w:t xml:space="preserve">joint </w:t>
      </w:r>
      <w:r w:rsidR="00B1177B" w:rsidRPr="00235450">
        <w:t>partner institutions</w:t>
      </w:r>
      <w:r w:rsidRPr="00235450">
        <w:t xml:space="preserve"> ensure </w:t>
      </w:r>
      <w:r w:rsidR="0034335B" w:rsidRPr="00235450">
        <w:t xml:space="preserve">the registration of </w:t>
      </w:r>
      <w:r w:rsidRPr="00235450">
        <w:t xml:space="preserve">study results so that </w:t>
      </w:r>
      <w:r w:rsidR="0034335B" w:rsidRPr="00235450">
        <w:t xml:space="preserve">all </w:t>
      </w:r>
      <w:r w:rsidRPr="00235450">
        <w:t>student</w:t>
      </w:r>
      <w:r w:rsidR="0034335B" w:rsidRPr="00235450">
        <w:t>s</w:t>
      </w:r>
      <w:r w:rsidRPr="00235450">
        <w:t xml:space="preserve"> ha</w:t>
      </w:r>
      <w:r w:rsidR="0034335B" w:rsidRPr="00235450">
        <w:t>ve</w:t>
      </w:r>
      <w:r w:rsidRPr="00235450">
        <w:t xml:space="preserve"> an overview of </w:t>
      </w:r>
      <w:r w:rsidR="0034335B" w:rsidRPr="00235450">
        <w:t xml:space="preserve">their </w:t>
      </w:r>
      <w:r w:rsidR="00211779" w:rsidRPr="00235450">
        <w:t xml:space="preserve">course </w:t>
      </w:r>
      <w:r w:rsidRPr="00235450">
        <w:t xml:space="preserve">results </w:t>
      </w:r>
      <w:r w:rsidR="004770EA" w:rsidRPr="00235450">
        <w:t xml:space="preserve">via </w:t>
      </w:r>
      <w:r w:rsidR="00922A42">
        <w:t>the student information system</w:t>
      </w:r>
      <w:r w:rsidRPr="00235450">
        <w:t>.</w:t>
      </w:r>
    </w:p>
    <w:p w14:paraId="2BF30704" w14:textId="3F3B29A8" w:rsidR="00E159D8" w:rsidRPr="00235450" w:rsidRDefault="00A050A6" w:rsidP="00F1333D">
      <w:pPr>
        <w:numPr>
          <w:ilvl w:val="0"/>
          <w:numId w:val="19"/>
        </w:numPr>
        <w:contextualSpacing/>
      </w:pPr>
      <w:r w:rsidRPr="00235450">
        <w:t xml:space="preserve">The </w:t>
      </w:r>
      <w:r w:rsidR="000C76B3" w:rsidRPr="00235450">
        <w:t xml:space="preserve">joint </w:t>
      </w:r>
      <w:r w:rsidRPr="00235450">
        <w:t>Executive Board</w:t>
      </w:r>
      <w:r w:rsidR="000C76B3" w:rsidRPr="00235450">
        <w:t>s</w:t>
      </w:r>
      <w:r w:rsidRPr="00235450">
        <w:t xml:space="preserve"> provide adequate study counselling and facilities in order to </w:t>
      </w:r>
      <w:r w:rsidR="0034335B" w:rsidRPr="00235450">
        <w:t xml:space="preserve">ensure </w:t>
      </w:r>
      <w:r w:rsidR="006F0DC4" w:rsidRPr="00235450">
        <w:t xml:space="preserve">sufficient </w:t>
      </w:r>
      <w:r w:rsidRPr="00235450">
        <w:t xml:space="preserve">study progress. </w:t>
      </w:r>
    </w:p>
    <w:p w14:paraId="5BB9EBA5" w14:textId="77777777" w:rsidR="006D3D1B" w:rsidRPr="00235450" w:rsidRDefault="006D3D1B" w:rsidP="006D3D1B">
      <w:pPr>
        <w:ind w:left="720"/>
        <w:contextualSpacing/>
      </w:pPr>
    </w:p>
    <w:p w14:paraId="2560EBB6" w14:textId="77777777" w:rsidR="00DF7BFE" w:rsidRPr="00235450" w:rsidRDefault="00DF7BFE" w:rsidP="00B75E6F">
      <w:pPr>
        <w:ind w:left="720"/>
        <w:contextualSpacing/>
      </w:pPr>
    </w:p>
    <w:p w14:paraId="2777FFE1" w14:textId="79234D39" w:rsidR="00213915" w:rsidRPr="00235450" w:rsidRDefault="00E159D8" w:rsidP="00F1333D">
      <w:pPr>
        <w:pStyle w:val="Kop1"/>
        <w:numPr>
          <w:ilvl w:val="0"/>
          <w:numId w:val="30"/>
        </w:numPr>
      </w:pPr>
      <w:bookmarkStart w:id="37" w:name="_Toc54257562"/>
      <w:r w:rsidRPr="00235450">
        <w:t xml:space="preserve">Complaint and </w:t>
      </w:r>
      <w:r w:rsidR="002730B0" w:rsidRPr="00235450">
        <w:t>a</w:t>
      </w:r>
      <w:r w:rsidRPr="00235450">
        <w:t>ppeal</w:t>
      </w:r>
      <w:bookmarkEnd w:id="37"/>
    </w:p>
    <w:p w14:paraId="41A018C7" w14:textId="77777777" w:rsidR="00E159D8" w:rsidRPr="00235450" w:rsidRDefault="00E159D8" w:rsidP="004A04F9">
      <w:pPr>
        <w:pStyle w:val="Artikel"/>
        <w:rPr>
          <w:b/>
          <w:lang w:val="en-GB"/>
        </w:rPr>
      </w:pPr>
      <w:r w:rsidRPr="00235450">
        <w:rPr>
          <w:b/>
          <w:lang w:val="en-GB"/>
        </w:rPr>
        <w:t>Right of complaint</w:t>
      </w:r>
    </w:p>
    <w:p w14:paraId="35E3736B" w14:textId="02109034" w:rsidR="0042116D" w:rsidRPr="00235450" w:rsidRDefault="00607CC8" w:rsidP="00E159D8">
      <w:pPr>
        <w:contextualSpacing/>
      </w:pPr>
      <w:r w:rsidRPr="00235450">
        <w:t xml:space="preserve">Any </w:t>
      </w:r>
      <w:r w:rsidR="0042116D" w:rsidRPr="00235450">
        <w:t xml:space="preserve">(current, prospective or past) </w:t>
      </w:r>
      <w:r w:rsidR="00DA611E" w:rsidRPr="00235450">
        <w:t xml:space="preserve">student </w:t>
      </w:r>
      <w:r w:rsidR="0042116D" w:rsidRPr="00235450">
        <w:t xml:space="preserve">or </w:t>
      </w:r>
      <w:r w:rsidR="000C76B3" w:rsidRPr="00235450">
        <w:t>extraneous</w:t>
      </w:r>
      <w:r w:rsidR="0042116D" w:rsidRPr="00235450">
        <w:t xml:space="preserve"> </w:t>
      </w:r>
      <w:r w:rsidR="00697C3F" w:rsidRPr="00235450">
        <w:t xml:space="preserve">(“concerned party”) </w:t>
      </w:r>
      <w:r w:rsidR="0042116D" w:rsidRPr="00235450">
        <w:t xml:space="preserve">can </w:t>
      </w:r>
      <w:r w:rsidR="00550E0C" w:rsidRPr="00235450">
        <w:t>submit</w:t>
      </w:r>
      <w:r w:rsidR="0042116D" w:rsidRPr="00235450">
        <w:t xml:space="preserve"> a </w:t>
      </w:r>
      <w:r w:rsidRPr="00235450">
        <w:t xml:space="preserve">complaint </w:t>
      </w:r>
      <w:r w:rsidR="001828CB" w:rsidRPr="00235450">
        <w:t xml:space="preserve">to </w:t>
      </w:r>
      <w:r w:rsidR="00550E0C" w:rsidRPr="00235450">
        <w:t xml:space="preserve">the </w:t>
      </w:r>
      <w:r w:rsidR="00AE7F70" w:rsidRPr="00235450">
        <w:t xml:space="preserve">Student Legal Protection Desk </w:t>
      </w:r>
      <w:r w:rsidR="00BE1D16" w:rsidRPr="00235450">
        <w:t>of Wageningen University</w:t>
      </w:r>
      <w:r w:rsidR="00A474EE" w:rsidRPr="00235450">
        <w:t xml:space="preserve"> (</w:t>
      </w:r>
      <w:r w:rsidR="006915A0" w:rsidRPr="00235450">
        <w:t>legalprotection</w:t>
      </w:r>
      <w:r w:rsidR="00AE7F70" w:rsidRPr="00235450">
        <w:t>.</w:t>
      </w:r>
      <w:r w:rsidR="006915A0" w:rsidRPr="00235450">
        <w:t>students</w:t>
      </w:r>
      <w:r w:rsidR="00A474EE" w:rsidRPr="00235450">
        <w:t>@wur.nl)</w:t>
      </w:r>
      <w:r w:rsidR="00BE1D16" w:rsidRPr="00235450">
        <w:t xml:space="preserve"> </w:t>
      </w:r>
      <w:r w:rsidR="00550E0C" w:rsidRPr="00235450">
        <w:t>regarding</w:t>
      </w:r>
      <w:r w:rsidR="0042116D" w:rsidRPr="00235450">
        <w:t xml:space="preserve"> the manner in which a body, committee or department of </w:t>
      </w:r>
      <w:r w:rsidR="00BE1D16" w:rsidRPr="00235450">
        <w:t>one of the partaking universities</w:t>
      </w:r>
      <w:r w:rsidR="0042116D" w:rsidRPr="00235450">
        <w:t xml:space="preserve"> or a person employed by</w:t>
      </w:r>
      <w:r w:rsidR="00BE1D16" w:rsidRPr="00235450">
        <w:t xml:space="preserve"> or</w:t>
      </w:r>
      <w:r w:rsidR="00697C3F" w:rsidRPr="00235450">
        <w:t xml:space="preserve"> working for</w:t>
      </w:r>
      <w:r w:rsidR="0042116D" w:rsidRPr="00235450">
        <w:t xml:space="preserve"> </w:t>
      </w:r>
      <w:r w:rsidR="00BE1D16" w:rsidRPr="00235450">
        <w:t>the partaking universities</w:t>
      </w:r>
      <w:r w:rsidR="001828CB" w:rsidRPr="00235450">
        <w:t xml:space="preserve"> has treated him/her in a particular situation. Before submitting a complaint, the </w:t>
      </w:r>
      <w:r w:rsidR="004E1E7D" w:rsidRPr="00235450">
        <w:t xml:space="preserve">concerned party </w:t>
      </w:r>
      <w:r w:rsidR="001828CB" w:rsidRPr="00235450">
        <w:t xml:space="preserve">shall </w:t>
      </w:r>
      <w:r w:rsidR="001B0D12" w:rsidRPr="00235450">
        <w:t>do</w:t>
      </w:r>
      <w:r w:rsidR="001828CB" w:rsidRPr="00235450">
        <w:t xml:space="preserve"> his/her utmost to settle a dispute, </w:t>
      </w:r>
      <w:r w:rsidR="00AA52E2" w:rsidRPr="00235450">
        <w:t xml:space="preserve">if desired </w:t>
      </w:r>
      <w:r w:rsidR="001828CB" w:rsidRPr="00235450">
        <w:t xml:space="preserve">with the intervention of a student </w:t>
      </w:r>
      <w:r w:rsidR="004A04F9" w:rsidRPr="00235450">
        <w:t>counse</w:t>
      </w:r>
      <w:r w:rsidR="00AA52E2" w:rsidRPr="00235450">
        <w:t>l</w:t>
      </w:r>
      <w:r w:rsidR="004A04F9" w:rsidRPr="00235450">
        <w:t>lor</w:t>
      </w:r>
      <w:r w:rsidR="001828CB" w:rsidRPr="00235450">
        <w:t>.</w:t>
      </w:r>
      <w:r w:rsidR="004E1E7D" w:rsidRPr="00235450">
        <w:t xml:space="preserve"> </w:t>
      </w:r>
    </w:p>
    <w:p w14:paraId="71CFA3A3" w14:textId="77777777" w:rsidR="001828CB" w:rsidRPr="00235450" w:rsidRDefault="001828CB" w:rsidP="00E159D8">
      <w:pPr>
        <w:contextualSpacing/>
      </w:pPr>
    </w:p>
    <w:p w14:paraId="45C5A744" w14:textId="77777777" w:rsidR="001828CB" w:rsidRPr="00235450" w:rsidRDefault="001828CB" w:rsidP="00AA52E2">
      <w:pPr>
        <w:pStyle w:val="Artikel"/>
        <w:rPr>
          <w:b/>
          <w:lang w:val="en-GB"/>
        </w:rPr>
      </w:pPr>
      <w:r w:rsidRPr="00235450">
        <w:rPr>
          <w:b/>
          <w:lang w:val="en-GB"/>
        </w:rPr>
        <w:t>Right of appeal</w:t>
      </w:r>
    </w:p>
    <w:p w14:paraId="4AAEA9B4" w14:textId="77777777" w:rsidR="001828CB" w:rsidRPr="00235450" w:rsidRDefault="001828CB" w:rsidP="00F1333D">
      <w:pPr>
        <w:numPr>
          <w:ilvl w:val="0"/>
          <w:numId w:val="20"/>
        </w:numPr>
        <w:contextualSpacing/>
      </w:pPr>
      <w:r w:rsidRPr="00235450">
        <w:t>A concerned party can appeal:</w:t>
      </w:r>
    </w:p>
    <w:p w14:paraId="1F630B0C" w14:textId="77777777" w:rsidR="00C40770" w:rsidRPr="00235450" w:rsidRDefault="001828CB" w:rsidP="00F1333D">
      <w:pPr>
        <w:pStyle w:val="Lijstalinea"/>
        <w:numPr>
          <w:ilvl w:val="0"/>
          <w:numId w:val="21"/>
        </w:numPr>
        <w:ind w:left="924" w:hanging="357"/>
      </w:pPr>
      <w:r w:rsidRPr="00235450">
        <w:t xml:space="preserve">all decisions of the </w:t>
      </w:r>
      <w:r w:rsidR="00AA52E2" w:rsidRPr="00235450">
        <w:t xml:space="preserve">Examining </w:t>
      </w:r>
      <w:r w:rsidRPr="00235450">
        <w:t>Board or the examiner;</w:t>
      </w:r>
    </w:p>
    <w:p w14:paraId="65E2DF47" w14:textId="142CF3EC" w:rsidR="001828CB" w:rsidRPr="00235450" w:rsidRDefault="001828CB" w:rsidP="00F1333D">
      <w:pPr>
        <w:pStyle w:val="Lijstalinea"/>
        <w:numPr>
          <w:ilvl w:val="0"/>
          <w:numId w:val="21"/>
        </w:numPr>
        <w:ind w:left="924" w:hanging="357"/>
      </w:pPr>
      <w:r w:rsidRPr="00235450">
        <w:t xml:space="preserve">decisions </w:t>
      </w:r>
      <w:r w:rsidR="009C3E58" w:rsidRPr="00235450">
        <w:t>regarding admission</w:t>
      </w:r>
      <w:r w:rsidRPr="00235450">
        <w:t>;</w:t>
      </w:r>
    </w:p>
    <w:p w14:paraId="4B9C85E0" w14:textId="07C70BFE" w:rsidR="006B723B" w:rsidRPr="00235450" w:rsidRDefault="002E2D34" w:rsidP="00F1333D">
      <w:pPr>
        <w:pStyle w:val="Lijstalinea"/>
        <w:numPr>
          <w:ilvl w:val="0"/>
          <w:numId w:val="21"/>
        </w:numPr>
        <w:ind w:left="924" w:hanging="357"/>
      </w:pPr>
      <w:r w:rsidRPr="00235450">
        <w:t xml:space="preserve">in any case </w:t>
      </w:r>
      <w:r w:rsidR="006B723B" w:rsidRPr="00235450">
        <w:t xml:space="preserve">all decisions </w:t>
      </w:r>
      <w:r w:rsidRPr="00235450">
        <w:t>mentioned</w:t>
      </w:r>
      <w:r w:rsidR="006B723B" w:rsidRPr="00235450">
        <w:t xml:space="preserve"> in article 7.61 WHW.</w:t>
      </w:r>
    </w:p>
    <w:p w14:paraId="4EC8CF78" w14:textId="77777777" w:rsidR="001828CB" w:rsidRPr="00235450" w:rsidRDefault="001828CB" w:rsidP="001828CB">
      <w:pPr>
        <w:contextualSpacing/>
      </w:pPr>
    </w:p>
    <w:p w14:paraId="08CC1A6B" w14:textId="42B4BECD" w:rsidR="001828CB" w:rsidRPr="00235450" w:rsidRDefault="001828CB" w:rsidP="00F1333D">
      <w:pPr>
        <w:numPr>
          <w:ilvl w:val="0"/>
          <w:numId w:val="20"/>
        </w:numPr>
        <w:contextualSpacing/>
      </w:pPr>
      <w:r w:rsidRPr="00235450">
        <w:t xml:space="preserve">The appeal must be </w:t>
      </w:r>
      <w:r w:rsidR="001B0D12" w:rsidRPr="00235450">
        <w:t>lodged</w:t>
      </w:r>
      <w:r w:rsidRPr="00235450">
        <w:t xml:space="preserve"> </w:t>
      </w:r>
      <w:r w:rsidR="004E1E7D" w:rsidRPr="00235450">
        <w:t xml:space="preserve">with </w:t>
      </w:r>
      <w:r w:rsidRPr="00235450">
        <w:t>the Exam</w:t>
      </w:r>
      <w:r w:rsidR="004770EA" w:rsidRPr="00235450">
        <w:t>ination</w:t>
      </w:r>
      <w:r w:rsidRPr="00235450">
        <w:t xml:space="preserve"> Appeals Board (EAB) within six weeks after receipt of the decision. </w:t>
      </w:r>
      <w:r w:rsidR="004E1E7D" w:rsidRPr="00235450">
        <w:t>To this end, t</w:t>
      </w:r>
      <w:r w:rsidRPr="00235450">
        <w:t xml:space="preserve">he concerned party </w:t>
      </w:r>
      <w:r w:rsidR="004E1E7D" w:rsidRPr="00235450">
        <w:t xml:space="preserve">must submit a </w:t>
      </w:r>
      <w:r w:rsidRPr="00235450">
        <w:t xml:space="preserve">letter of appeal to the </w:t>
      </w:r>
      <w:r w:rsidR="00AE7F70" w:rsidRPr="00235450">
        <w:t>Student Legal Protection Desk of Wageningen University (legalprotection.students@wur.nl)</w:t>
      </w:r>
      <w:r w:rsidR="00A474EE" w:rsidRPr="00235450">
        <w:t>.</w:t>
      </w:r>
      <w:r w:rsidR="00BE1D16" w:rsidRPr="00235450">
        <w:t xml:space="preserve"> </w:t>
      </w:r>
    </w:p>
    <w:p w14:paraId="191E3CF6" w14:textId="77777777" w:rsidR="001B0D12" w:rsidRPr="00235450" w:rsidRDefault="001B0D12" w:rsidP="00550E0C">
      <w:pPr>
        <w:contextualSpacing/>
        <w:rPr>
          <w:b/>
        </w:rPr>
      </w:pPr>
    </w:p>
    <w:p w14:paraId="381564C9" w14:textId="77777777" w:rsidR="00550E0C" w:rsidRPr="00235450" w:rsidRDefault="00550E0C" w:rsidP="003E4F31">
      <w:pPr>
        <w:pStyle w:val="Artikel"/>
        <w:rPr>
          <w:b/>
          <w:lang w:val="en-GB"/>
        </w:rPr>
      </w:pPr>
      <w:r w:rsidRPr="00235450">
        <w:rPr>
          <w:b/>
          <w:lang w:val="en-GB"/>
        </w:rPr>
        <w:t>Procedure</w:t>
      </w:r>
    </w:p>
    <w:p w14:paraId="27C84E6F" w14:textId="6E2CE555" w:rsidR="003E4F31" w:rsidRPr="00235450" w:rsidRDefault="00550E0C" w:rsidP="00550E0C">
      <w:pPr>
        <w:contextualSpacing/>
        <w:rPr>
          <w:rStyle w:val="Hyperlink"/>
          <w:color w:val="auto"/>
          <w:u w:val="none"/>
          <w:lang w:val="en-US"/>
        </w:rPr>
      </w:pPr>
      <w:r w:rsidRPr="00235450">
        <w:t>The procedure</w:t>
      </w:r>
      <w:r w:rsidR="004E1E7D" w:rsidRPr="00235450">
        <w:t>s</w:t>
      </w:r>
      <w:r w:rsidRPr="00235450">
        <w:t xml:space="preserve"> for submitting a complaint or lodging an appeal are outlined in the </w:t>
      </w:r>
      <w:hyperlink r:id="rId18" w:history="1">
        <w:r w:rsidR="004E1E7D" w:rsidRPr="00153A69">
          <w:rPr>
            <w:rStyle w:val="Hyperlink"/>
            <w:lang w:val="en-US"/>
          </w:rPr>
          <w:t>Student</w:t>
        </w:r>
        <w:r w:rsidR="00453E33" w:rsidRPr="00153A69">
          <w:rPr>
            <w:rStyle w:val="Hyperlink"/>
            <w:lang w:val="en-US"/>
          </w:rPr>
          <w:t xml:space="preserve"> </w:t>
        </w:r>
        <w:r w:rsidR="008516F2" w:rsidRPr="00153A69">
          <w:rPr>
            <w:rStyle w:val="Hyperlink"/>
            <w:lang w:val="en-US"/>
          </w:rPr>
          <w:t>C</w:t>
        </w:r>
        <w:r w:rsidR="00453E33" w:rsidRPr="00153A69">
          <w:rPr>
            <w:rStyle w:val="Hyperlink"/>
            <w:lang w:val="en-US"/>
          </w:rPr>
          <w:t>harter</w:t>
        </w:r>
        <w:r w:rsidR="004E1E7D" w:rsidRPr="00153A69">
          <w:rPr>
            <w:rStyle w:val="Hyperlink"/>
            <w:lang w:val="en-US"/>
          </w:rPr>
          <w:t xml:space="preserve"> </w:t>
        </w:r>
      </w:hyperlink>
      <w:r w:rsidR="004E1E7D" w:rsidRPr="00235450">
        <w:rPr>
          <w:rStyle w:val="Hyperlink"/>
          <w:color w:val="auto"/>
          <w:u w:val="none"/>
          <w:lang w:val="en-US"/>
        </w:rPr>
        <w:t xml:space="preserve">&gt; </w:t>
      </w:r>
      <w:r w:rsidR="00453E33" w:rsidRPr="00235450">
        <w:rPr>
          <w:rStyle w:val="Hyperlink"/>
          <w:color w:val="auto"/>
          <w:u w:val="none"/>
          <w:lang w:val="en-US"/>
        </w:rPr>
        <w:t>Legal protection</w:t>
      </w:r>
    </w:p>
    <w:p w14:paraId="4A75C2E1" w14:textId="339E23A2" w:rsidR="00B75E6F" w:rsidRPr="00235450" w:rsidRDefault="00B75E6F" w:rsidP="00550E0C">
      <w:pPr>
        <w:contextualSpacing/>
        <w:rPr>
          <w:u w:val="single"/>
        </w:rPr>
      </w:pPr>
    </w:p>
    <w:p w14:paraId="54C9DEE2" w14:textId="77777777" w:rsidR="00905822" w:rsidRPr="00235450" w:rsidRDefault="00905822" w:rsidP="00550E0C">
      <w:pPr>
        <w:contextualSpacing/>
        <w:rPr>
          <w:u w:val="single"/>
        </w:rPr>
      </w:pPr>
    </w:p>
    <w:p w14:paraId="22C20150" w14:textId="65FFBA96" w:rsidR="001B0D12" w:rsidRPr="00235450" w:rsidRDefault="00B76572" w:rsidP="00F1333D">
      <w:pPr>
        <w:pStyle w:val="Kop1"/>
        <w:numPr>
          <w:ilvl w:val="0"/>
          <w:numId w:val="30"/>
        </w:numPr>
      </w:pPr>
      <w:bookmarkStart w:id="38" w:name="_Toc54257563"/>
      <w:r w:rsidRPr="00235450">
        <w:t>Final provisions and implementati</w:t>
      </w:r>
      <w:r w:rsidR="001B0D12" w:rsidRPr="00235450">
        <w:t>on</w:t>
      </w:r>
      <w:r w:rsidRPr="00235450">
        <w:t xml:space="preserve"> </w:t>
      </w:r>
      <w:r w:rsidR="001B0D12" w:rsidRPr="00235450">
        <w:t>provisions</w:t>
      </w:r>
      <w:bookmarkEnd w:id="38"/>
    </w:p>
    <w:p w14:paraId="07B93029" w14:textId="77777777" w:rsidR="001B0D12" w:rsidRPr="00235450" w:rsidRDefault="00113EFD" w:rsidP="003E4F31">
      <w:pPr>
        <w:pStyle w:val="Artikel"/>
        <w:rPr>
          <w:b/>
          <w:lang w:val="en-GB"/>
        </w:rPr>
      </w:pPr>
      <w:r w:rsidRPr="00235450">
        <w:rPr>
          <w:b/>
          <w:lang w:val="en-GB"/>
        </w:rPr>
        <w:t>Implementation</w:t>
      </w:r>
    </w:p>
    <w:p w14:paraId="66793D0E" w14:textId="564424E2" w:rsidR="00113EFD" w:rsidRPr="00235450" w:rsidRDefault="00113EFD" w:rsidP="00F1333D">
      <w:pPr>
        <w:numPr>
          <w:ilvl w:val="0"/>
          <w:numId w:val="22"/>
        </w:numPr>
        <w:contextualSpacing/>
      </w:pPr>
      <w:r w:rsidRPr="00235450">
        <w:t xml:space="preserve">These </w:t>
      </w:r>
      <w:r w:rsidR="00453E33" w:rsidRPr="00235450">
        <w:t>R</w:t>
      </w:r>
      <w:r w:rsidRPr="00235450">
        <w:t xml:space="preserve">egulations enter into force on 1 September </w:t>
      </w:r>
      <w:r w:rsidR="001625F7">
        <w:t>2020</w:t>
      </w:r>
      <w:r w:rsidRPr="00235450">
        <w:t>.</w:t>
      </w:r>
    </w:p>
    <w:p w14:paraId="542829B6" w14:textId="2D637688" w:rsidR="00113EFD" w:rsidRPr="00235450" w:rsidRDefault="00113EFD" w:rsidP="00F1333D">
      <w:pPr>
        <w:numPr>
          <w:ilvl w:val="0"/>
          <w:numId w:val="22"/>
        </w:numPr>
        <w:contextualSpacing/>
        <w:rPr>
          <w:b/>
        </w:rPr>
      </w:pPr>
      <w:r w:rsidRPr="00235450">
        <w:t xml:space="preserve">These </w:t>
      </w:r>
      <w:r w:rsidR="00453E33" w:rsidRPr="00235450">
        <w:t>R</w:t>
      </w:r>
      <w:r w:rsidRPr="00235450">
        <w:t xml:space="preserve">egulations have been </w:t>
      </w:r>
      <w:r w:rsidR="00453E33" w:rsidRPr="00235450">
        <w:t>adopted</w:t>
      </w:r>
      <w:r w:rsidR="00453E33" w:rsidRPr="00235450" w:rsidDel="00453E33">
        <w:t xml:space="preserve"> </w:t>
      </w:r>
      <w:r w:rsidR="00453E33" w:rsidRPr="00235450">
        <w:t>by t</w:t>
      </w:r>
      <w:r w:rsidRPr="00235450">
        <w:t>he Executive Board</w:t>
      </w:r>
      <w:r w:rsidR="00BE1D16" w:rsidRPr="00235450">
        <w:t>s</w:t>
      </w:r>
      <w:r w:rsidR="00F63003" w:rsidRPr="00235450">
        <w:t xml:space="preserve"> of the joint partner institutions</w:t>
      </w:r>
      <w:r w:rsidR="00453E33" w:rsidRPr="00235450">
        <w:t>,</w:t>
      </w:r>
      <w:r w:rsidRPr="00235450">
        <w:t xml:space="preserve"> </w:t>
      </w:r>
      <w:r w:rsidR="00453E33" w:rsidRPr="00235450">
        <w:t xml:space="preserve">with approval </w:t>
      </w:r>
      <w:r w:rsidR="00314F88" w:rsidRPr="00235450">
        <w:t xml:space="preserve">and or advice </w:t>
      </w:r>
      <w:r w:rsidR="00453E33" w:rsidRPr="00235450">
        <w:t xml:space="preserve">of the </w:t>
      </w:r>
      <w:r w:rsidR="00BE1D16" w:rsidRPr="00235450">
        <w:t>relevant participation councils</w:t>
      </w:r>
      <w:r w:rsidRPr="00235450">
        <w:t xml:space="preserve">. </w:t>
      </w:r>
    </w:p>
    <w:p w14:paraId="23D50CFA" w14:textId="77777777" w:rsidR="00113EFD" w:rsidRPr="00235450" w:rsidRDefault="00113EFD" w:rsidP="00113EFD">
      <w:pPr>
        <w:rPr>
          <w:b/>
        </w:rPr>
      </w:pPr>
    </w:p>
    <w:p w14:paraId="3F5F8ED7" w14:textId="77777777" w:rsidR="00113EFD" w:rsidRPr="00235450" w:rsidRDefault="00113EFD" w:rsidP="003E4F31">
      <w:pPr>
        <w:pStyle w:val="Artikel"/>
        <w:rPr>
          <w:b/>
          <w:lang w:val="en-GB"/>
        </w:rPr>
      </w:pPr>
      <w:r w:rsidRPr="00235450">
        <w:rPr>
          <w:b/>
          <w:lang w:val="en-GB"/>
        </w:rPr>
        <w:t>Amen</w:t>
      </w:r>
      <w:r w:rsidR="00170869" w:rsidRPr="00235450">
        <w:rPr>
          <w:b/>
          <w:lang w:val="en-GB"/>
        </w:rPr>
        <w:t>d</w:t>
      </w:r>
      <w:r w:rsidRPr="00235450">
        <w:rPr>
          <w:b/>
          <w:lang w:val="en-GB"/>
        </w:rPr>
        <w:t xml:space="preserve">ments to </w:t>
      </w:r>
      <w:r w:rsidR="00453E33" w:rsidRPr="00235450">
        <w:rPr>
          <w:b/>
          <w:lang w:val="en-GB"/>
        </w:rPr>
        <w:t xml:space="preserve">the </w:t>
      </w:r>
      <w:r w:rsidRPr="00235450">
        <w:rPr>
          <w:b/>
          <w:lang w:val="en-GB"/>
        </w:rPr>
        <w:t>EER</w:t>
      </w:r>
    </w:p>
    <w:p w14:paraId="4FF7948A" w14:textId="16982DA6" w:rsidR="00113EFD" w:rsidRPr="00235450" w:rsidRDefault="00113EFD" w:rsidP="00F1333D">
      <w:pPr>
        <w:numPr>
          <w:ilvl w:val="0"/>
          <w:numId w:val="23"/>
        </w:numPr>
        <w:contextualSpacing/>
        <w:rPr>
          <w:b/>
        </w:rPr>
      </w:pPr>
      <w:r w:rsidRPr="00235450">
        <w:t xml:space="preserve">These </w:t>
      </w:r>
      <w:r w:rsidR="00453E33" w:rsidRPr="00235450">
        <w:t>R</w:t>
      </w:r>
      <w:r w:rsidRPr="00235450">
        <w:t xml:space="preserve">egulations can be amended </w:t>
      </w:r>
      <w:r w:rsidR="00453E33" w:rsidRPr="00235450">
        <w:t xml:space="preserve">only </w:t>
      </w:r>
      <w:r w:rsidRPr="00235450">
        <w:t xml:space="preserve">by decision of the </w:t>
      </w:r>
      <w:r w:rsidR="00BE1D16" w:rsidRPr="00235450">
        <w:t xml:space="preserve">joint </w:t>
      </w:r>
      <w:r w:rsidR="00B1177B" w:rsidRPr="00235450">
        <w:t>partner institutions</w:t>
      </w:r>
      <w:r w:rsidRPr="00235450">
        <w:t xml:space="preserve"> </w:t>
      </w:r>
      <w:r w:rsidR="00E85B16" w:rsidRPr="00235450">
        <w:t>after</w:t>
      </w:r>
      <w:r w:rsidRPr="00235450">
        <w:t xml:space="preserve"> approval </w:t>
      </w:r>
      <w:r w:rsidR="009C3E58" w:rsidRPr="00235450">
        <w:t xml:space="preserve">and or advice </w:t>
      </w:r>
      <w:r w:rsidRPr="00235450">
        <w:t>from the</w:t>
      </w:r>
      <w:r w:rsidR="00BE1D16" w:rsidRPr="00235450">
        <w:t xml:space="preserve"> relevant participation councils</w:t>
      </w:r>
      <w:r w:rsidRPr="00235450">
        <w:t xml:space="preserve">. </w:t>
      </w:r>
    </w:p>
    <w:p w14:paraId="680A4214" w14:textId="7F3A84D2" w:rsidR="00113EFD" w:rsidRPr="00235450" w:rsidRDefault="00113EFD" w:rsidP="00F36838">
      <w:pPr>
        <w:pStyle w:val="Lijstalinea"/>
        <w:numPr>
          <w:ilvl w:val="0"/>
          <w:numId w:val="23"/>
        </w:numPr>
      </w:pPr>
      <w:r w:rsidRPr="00235450">
        <w:t xml:space="preserve">Amendments </w:t>
      </w:r>
      <w:r w:rsidR="00170869" w:rsidRPr="00235450">
        <w:t>do not apply</w:t>
      </w:r>
      <w:r w:rsidRPr="00235450">
        <w:t xml:space="preserve"> in the current academic year, unless the interests of the students are not </w:t>
      </w:r>
      <w:r w:rsidR="00170869" w:rsidRPr="00235450">
        <w:t>harmed</w:t>
      </w:r>
      <w:r w:rsidRPr="00235450">
        <w:t xml:space="preserve"> or if necessary because of a </w:t>
      </w:r>
      <w:r w:rsidR="00697C3F" w:rsidRPr="00235450">
        <w:t>statutory</w:t>
      </w:r>
      <w:r w:rsidRPr="00235450">
        <w:t xml:space="preserve"> obligation.</w:t>
      </w:r>
    </w:p>
    <w:p w14:paraId="6C95F233" w14:textId="671C050E" w:rsidR="00170869" w:rsidRPr="00235450" w:rsidRDefault="00170869" w:rsidP="00113EFD">
      <w:pPr>
        <w:ind w:left="720" w:hanging="300"/>
        <w:contextualSpacing/>
      </w:pPr>
      <w:r w:rsidRPr="00235450">
        <w:t>c.</w:t>
      </w:r>
      <w:r w:rsidRPr="00235450">
        <w:tab/>
        <w:t xml:space="preserve">Amendments </w:t>
      </w:r>
      <w:r w:rsidR="00CE559B" w:rsidRPr="00235450">
        <w:t>shall not</w:t>
      </w:r>
      <w:r w:rsidRPr="00235450">
        <w:t xml:space="preserve"> negatively impact decisions taken </w:t>
      </w:r>
      <w:r w:rsidR="003E4F31" w:rsidRPr="00235450">
        <w:t xml:space="preserve">by the Examining Board </w:t>
      </w:r>
      <w:r w:rsidRPr="00235450">
        <w:t xml:space="preserve">on </w:t>
      </w:r>
      <w:r w:rsidR="00E85B16" w:rsidRPr="00235450">
        <w:t xml:space="preserve">the </w:t>
      </w:r>
      <w:r w:rsidRPr="00235450">
        <w:t xml:space="preserve">grounds of these </w:t>
      </w:r>
      <w:r w:rsidR="00453E33" w:rsidRPr="00235450">
        <w:t>R</w:t>
      </w:r>
      <w:r w:rsidRPr="00235450">
        <w:t>egulations with regard to student</w:t>
      </w:r>
      <w:r w:rsidR="00453E33" w:rsidRPr="00235450">
        <w:t>s</w:t>
      </w:r>
      <w:r w:rsidRPr="00235450">
        <w:t>.</w:t>
      </w:r>
    </w:p>
    <w:p w14:paraId="4F796ECF" w14:textId="77777777" w:rsidR="00170869" w:rsidRPr="00235450" w:rsidRDefault="00170869" w:rsidP="00113EFD">
      <w:pPr>
        <w:ind w:left="720" w:hanging="300"/>
        <w:contextualSpacing/>
      </w:pPr>
    </w:p>
    <w:p w14:paraId="009CE4C7" w14:textId="77777777" w:rsidR="00170869" w:rsidRPr="00235450" w:rsidRDefault="00170869" w:rsidP="003E4F31">
      <w:pPr>
        <w:pStyle w:val="Artikel"/>
        <w:rPr>
          <w:b/>
          <w:lang w:val="en-GB"/>
        </w:rPr>
      </w:pPr>
      <w:r w:rsidRPr="00235450">
        <w:rPr>
          <w:b/>
          <w:lang w:val="en-GB"/>
        </w:rPr>
        <w:t>Publication</w:t>
      </w:r>
    </w:p>
    <w:p w14:paraId="1E015726" w14:textId="644BDDA0" w:rsidR="004E2B51" w:rsidRPr="00235450" w:rsidRDefault="00170869" w:rsidP="00F03649">
      <w:r w:rsidRPr="00235450">
        <w:t>The</w:t>
      </w:r>
      <w:r w:rsidR="00BB6D9C" w:rsidRPr="00235450">
        <w:t xml:space="preserve"> joint</w:t>
      </w:r>
      <w:r w:rsidRPr="00235450">
        <w:t xml:space="preserve"> </w:t>
      </w:r>
      <w:r w:rsidR="00B1177B" w:rsidRPr="00235450">
        <w:t>partner institutions</w:t>
      </w:r>
      <w:r w:rsidRPr="00235450">
        <w:t xml:space="preserve"> shall ensure the </w:t>
      </w:r>
      <w:r w:rsidR="00453E33" w:rsidRPr="00235450">
        <w:t xml:space="preserve">suitable </w:t>
      </w:r>
      <w:r w:rsidRPr="00235450">
        <w:t xml:space="preserve">publication of these </w:t>
      </w:r>
      <w:r w:rsidR="00453E33" w:rsidRPr="00235450">
        <w:t>R</w:t>
      </w:r>
      <w:r w:rsidR="00013725" w:rsidRPr="00235450">
        <w:t>egulations and any amendments</w:t>
      </w:r>
      <w:r w:rsidR="00D94CF0" w:rsidRPr="00235450">
        <w:t>.</w:t>
      </w:r>
    </w:p>
    <w:p w14:paraId="347910C4" w14:textId="77777777" w:rsidR="004E2B51" w:rsidRPr="00235450" w:rsidRDefault="004E2B51">
      <w:pPr>
        <w:spacing w:after="200" w:line="276" w:lineRule="auto"/>
        <w:rPr>
          <w:rFonts w:eastAsiaTheme="majorEastAsia" w:cstheme="majorBidi"/>
          <w:b/>
          <w:bCs/>
          <w:szCs w:val="26"/>
        </w:rPr>
      </w:pPr>
      <w:r w:rsidRPr="00235450">
        <w:br w:type="page"/>
      </w:r>
    </w:p>
    <w:p w14:paraId="23850AE1" w14:textId="4EDE571D" w:rsidR="00213915" w:rsidRPr="00235450" w:rsidRDefault="00E30DCC" w:rsidP="008516F2">
      <w:pPr>
        <w:pStyle w:val="Kop1"/>
        <w:ind w:left="2160" w:hanging="2160"/>
      </w:pPr>
      <w:bookmarkStart w:id="39" w:name="_Toc54257564"/>
      <w:r w:rsidRPr="00235450">
        <w:lastRenderedPageBreak/>
        <w:t>Appendix</w:t>
      </w:r>
      <w:r w:rsidR="00213915" w:rsidRPr="00235450">
        <w:t xml:space="preserve"> </w:t>
      </w:r>
      <w:r w:rsidR="00EE2592" w:rsidRPr="00235450">
        <w:t>1</w:t>
      </w:r>
      <w:r w:rsidR="00213915" w:rsidRPr="00235450">
        <w:t xml:space="preserve"> </w:t>
      </w:r>
      <w:r w:rsidR="00170869" w:rsidRPr="00235450">
        <w:tab/>
      </w:r>
      <w:r w:rsidR="00213915" w:rsidRPr="00235450">
        <w:t xml:space="preserve">Admission to the </w:t>
      </w:r>
      <w:r w:rsidR="000A1F66" w:rsidRPr="00235450">
        <w:t xml:space="preserve">master’s </w:t>
      </w:r>
      <w:r w:rsidR="00213915" w:rsidRPr="00235450">
        <w:t xml:space="preserve">programme </w:t>
      </w:r>
      <w:r w:rsidR="00EF55B2" w:rsidRPr="00235450">
        <w:t>Water</w:t>
      </w:r>
      <w:r w:rsidR="00066C63" w:rsidRPr="00235450">
        <w:t xml:space="preserve"> T</w:t>
      </w:r>
      <w:r w:rsidR="00EF55B2" w:rsidRPr="00235450">
        <w:t>echnology</w:t>
      </w:r>
      <w:bookmarkEnd w:id="39"/>
    </w:p>
    <w:p w14:paraId="41FF2980" w14:textId="77777777" w:rsidR="00437342" w:rsidRPr="00235450" w:rsidRDefault="00437342" w:rsidP="00BA4B07"/>
    <w:p w14:paraId="74E7E7D4" w14:textId="666A5671" w:rsidR="00BA4B07" w:rsidRPr="00235450" w:rsidRDefault="00BA4B07" w:rsidP="00BA4B07">
      <w:r w:rsidRPr="00235450">
        <w:t xml:space="preserve">A. Admission to </w:t>
      </w:r>
      <w:r w:rsidR="00EF55B2" w:rsidRPr="00235450">
        <w:t>the</w:t>
      </w:r>
      <w:r w:rsidRPr="00235450">
        <w:t xml:space="preserve"> </w:t>
      </w:r>
      <w:r w:rsidR="000A1F66" w:rsidRPr="00235450">
        <w:t xml:space="preserve">master’s </w:t>
      </w:r>
      <w:r w:rsidRPr="00235450">
        <w:t>programme</w:t>
      </w:r>
      <w:r w:rsidR="00EF55B2" w:rsidRPr="00235450">
        <w:t xml:space="preserve"> Water</w:t>
      </w:r>
      <w:r w:rsidR="00066C63" w:rsidRPr="00235450">
        <w:t xml:space="preserve"> T</w:t>
      </w:r>
      <w:r w:rsidR="00EF55B2" w:rsidRPr="00235450">
        <w:t>echnology</w:t>
      </w:r>
      <w:r w:rsidRPr="00235450">
        <w:t xml:space="preserve"> </w:t>
      </w:r>
      <w:r w:rsidR="00B555C4" w:rsidRPr="00235450">
        <w:t>is unconditional f</w:t>
      </w:r>
      <w:r w:rsidR="00A810AC" w:rsidRPr="00235450">
        <w:t>or</w:t>
      </w:r>
    </w:p>
    <w:p w14:paraId="7FB5ADD1" w14:textId="70B15358" w:rsidR="00B555C4" w:rsidRPr="00235450" w:rsidRDefault="008C2070" w:rsidP="00F1333D">
      <w:pPr>
        <w:pStyle w:val="Lijstalinea"/>
        <w:numPr>
          <w:ilvl w:val="1"/>
          <w:numId w:val="22"/>
        </w:numPr>
        <w:ind w:left="567" w:hanging="283"/>
      </w:pPr>
      <w:r w:rsidRPr="00235450">
        <w:t>The</w:t>
      </w:r>
      <w:r w:rsidR="00BA4B07" w:rsidRPr="00235450">
        <w:t xml:space="preserve"> student holding a </w:t>
      </w:r>
      <w:r w:rsidR="00743319" w:rsidRPr="00235450">
        <w:t xml:space="preserve">bachelor’s </w:t>
      </w:r>
      <w:r w:rsidR="00BA4B07" w:rsidRPr="00235450">
        <w:t>degree</w:t>
      </w:r>
      <w:r w:rsidR="00EF55B2" w:rsidRPr="00235450">
        <w:t xml:space="preserve"> </w:t>
      </w:r>
      <w:r w:rsidR="00B555C4" w:rsidRPr="00235450">
        <w:t>in Biotechnology</w:t>
      </w:r>
      <w:r w:rsidR="00BA4B07" w:rsidRPr="00235450">
        <w:t xml:space="preserve"> from Wageningen University</w:t>
      </w:r>
      <w:r w:rsidR="00066C63" w:rsidRPr="00235450">
        <w:t>;</w:t>
      </w:r>
    </w:p>
    <w:p w14:paraId="77DA2A3A" w14:textId="43EE4954" w:rsidR="00B555C4" w:rsidRPr="00235450" w:rsidRDefault="008C2070" w:rsidP="00F1333D">
      <w:pPr>
        <w:pStyle w:val="Lijstalinea"/>
        <w:numPr>
          <w:ilvl w:val="1"/>
          <w:numId w:val="22"/>
        </w:numPr>
        <w:ind w:left="567" w:hanging="283"/>
      </w:pPr>
      <w:r w:rsidRPr="00235450">
        <w:t>The</w:t>
      </w:r>
      <w:r w:rsidR="00B555C4" w:rsidRPr="00235450">
        <w:t xml:space="preserve"> student holding a bachelor’s degree in Chemical Engineering from the University of Groningen</w:t>
      </w:r>
      <w:r w:rsidR="002031BA" w:rsidRPr="00235450">
        <w:t>, University of Twente or Eindhoven University of Technology</w:t>
      </w:r>
      <w:r w:rsidR="00066C63" w:rsidRPr="00235450">
        <w:t>;</w:t>
      </w:r>
    </w:p>
    <w:p w14:paraId="6A7EC9AA" w14:textId="6C6A2435" w:rsidR="008C2070" w:rsidRPr="00235450" w:rsidRDefault="008C2070" w:rsidP="008C2070">
      <w:pPr>
        <w:pStyle w:val="Lijstalinea"/>
      </w:pPr>
    </w:p>
    <w:p w14:paraId="27DE2244" w14:textId="12F8D393" w:rsidR="008C2070" w:rsidRPr="00235450" w:rsidRDefault="008C2070" w:rsidP="008C2070">
      <w:r w:rsidRPr="00235450">
        <w:t>This does not apply for the student holding a bachelor’s degree from a flexible programme in one of the abovementioned programmes.</w:t>
      </w:r>
    </w:p>
    <w:p w14:paraId="7E0A6292" w14:textId="77777777" w:rsidR="00437342" w:rsidRPr="00235450" w:rsidRDefault="00437342" w:rsidP="00437342">
      <w:pPr>
        <w:rPr>
          <w:szCs w:val="17"/>
        </w:rPr>
      </w:pPr>
    </w:p>
    <w:p w14:paraId="6F746D4D" w14:textId="3EFBFA71" w:rsidR="00437342" w:rsidRPr="00235450" w:rsidRDefault="00437342" w:rsidP="00437342">
      <w:pPr>
        <w:rPr>
          <w:szCs w:val="17"/>
        </w:rPr>
      </w:pPr>
      <w:r w:rsidRPr="00235450">
        <w:rPr>
          <w:szCs w:val="17"/>
        </w:rPr>
        <w:t xml:space="preserve">B. Selective admission = Admission to </w:t>
      </w:r>
      <w:r w:rsidR="004E2B51" w:rsidRPr="00235450">
        <w:rPr>
          <w:szCs w:val="17"/>
        </w:rPr>
        <w:t>MSc WT</w:t>
      </w:r>
      <w:r w:rsidRPr="00235450">
        <w:rPr>
          <w:szCs w:val="17"/>
        </w:rPr>
        <w:t xml:space="preserve"> for </w:t>
      </w:r>
      <w:r w:rsidR="008A2218" w:rsidRPr="00235450">
        <w:rPr>
          <w:szCs w:val="17"/>
        </w:rPr>
        <w:t xml:space="preserve">the </w:t>
      </w:r>
      <w:r w:rsidRPr="00235450">
        <w:rPr>
          <w:szCs w:val="17"/>
        </w:rPr>
        <w:t>student who do</w:t>
      </w:r>
      <w:r w:rsidR="008A2218" w:rsidRPr="00235450">
        <w:rPr>
          <w:szCs w:val="17"/>
        </w:rPr>
        <w:t>es</w:t>
      </w:r>
      <w:r w:rsidRPr="00235450">
        <w:rPr>
          <w:szCs w:val="17"/>
        </w:rPr>
        <w:t xml:space="preserve"> not fulfil the criteria mentioned under A. </w:t>
      </w:r>
    </w:p>
    <w:p w14:paraId="60922353" w14:textId="77777777" w:rsidR="00437342" w:rsidRPr="00235450" w:rsidRDefault="00437342" w:rsidP="00437342">
      <w:pPr>
        <w:rPr>
          <w:szCs w:val="17"/>
        </w:rPr>
      </w:pPr>
    </w:p>
    <w:p w14:paraId="616206D6" w14:textId="3CF03039" w:rsidR="00437342" w:rsidRPr="00235450" w:rsidRDefault="00437342" w:rsidP="00437342">
      <w:pPr>
        <w:rPr>
          <w:b/>
          <w:szCs w:val="17"/>
        </w:rPr>
      </w:pPr>
      <w:r w:rsidRPr="00235450">
        <w:rPr>
          <w:b/>
          <w:szCs w:val="17"/>
        </w:rPr>
        <w:t>Admission regulation</w:t>
      </w:r>
      <w:r w:rsidR="008C2070" w:rsidRPr="00235450">
        <w:rPr>
          <w:b/>
          <w:szCs w:val="17"/>
        </w:rPr>
        <w:t>s</w:t>
      </w:r>
      <w:r w:rsidR="00074BE0" w:rsidRPr="00235450">
        <w:rPr>
          <w:b/>
          <w:szCs w:val="17"/>
        </w:rPr>
        <w:t xml:space="preserve"> for MSc MWT</w:t>
      </w:r>
    </w:p>
    <w:p w14:paraId="08AD17DD" w14:textId="77777777" w:rsidR="00437342" w:rsidRPr="00235450" w:rsidRDefault="00437342" w:rsidP="00437342">
      <w:pPr>
        <w:rPr>
          <w:szCs w:val="17"/>
        </w:rPr>
      </w:pPr>
    </w:p>
    <w:p w14:paraId="73791DC6" w14:textId="39F570A7" w:rsidR="00437342" w:rsidRPr="00235450" w:rsidRDefault="00437342" w:rsidP="00437342">
      <w:pPr>
        <w:rPr>
          <w:szCs w:val="17"/>
        </w:rPr>
      </w:pPr>
      <w:r w:rsidRPr="00235450">
        <w:rPr>
          <w:szCs w:val="17"/>
        </w:rPr>
        <w:t>The MSc admissions regulation</w:t>
      </w:r>
      <w:r w:rsidR="008C2070" w:rsidRPr="00235450">
        <w:rPr>
          <w:szCs w:val="17"/>
        </w:rPr>
        <w:t>s</w:t>
      </w:r>
      <w:r w:rsidRPr="00235450">
        <w:rPr>
          <w:szCs w:val="17"/>
        </w:rPr>
        <w:t xml:space="preserve"> </w:t>
      </w:r>
      <w:r w:rsidR="004E2B51" w:rsidRPr="00235450">
        <w:rPr>
          <w:szCs w:val="17"/>
        </w:rPr>
        <w:t xml:space="preserve">describe the procedure and the </w:t>
      </w:r>
      <w:r w:rsidRPr="00235450">
        <w:rPr>
          <w:szCs w:val="17"/>
        </w:rPr>
        <w:t xml:space="preserve"> requirements for selective admission to </w:t>
      </w:r>
      <w:r w:rsidR="00074BE0" w:rsidRPr="00235450">
        <w:rPr>
          <w:szCs w:val="17"/>
        </w:rPr>
        <w:t xml:space="preserve">this </w:t>
      </w:r>
      <w:r w:rsidRPr="00235450">
        <w:rPr>
          <w:szCs w:val="17"/>
        </w:rPr>
        <w:t xml:space="preserve">MSc programme. </w:t>
      </w:r>
      <w:r w:rsidR="00074BE0" w:rsidRPr="00235450">
        <w:rPr>
          <w:szCs w:val="17"/>
        </w:rPr>
        <w:t>The Admission Board is</w:t>
      </w:r>
      <w:r w:rsidRPr="00235450">
        <w:rPr>
          <w:szCs w:val="17"/>
        </w:rPr>
        <w:t xml:space="preserve"> authorised by the</w:t>
      </w:r>
      <w:r w:rsidR="00074BE0" w:rsidRPr="00235450">
        <w:t xml:space="preserve"> </w:t>
      </w:r>
      <w:r w:rsidR="00074BE0" w:rsidRPr="00235450">
        <w:rPr>
          <w:szCs w:val="17"/>
        </w:rPr>
        <w:t xml:space="preserve">joint </w:t>
      </w:r>
      <w:r w:rsidR="008C2070" w:rsidRPr="00235450">
        <w:rPr>
          <w:szCs w:val="17"/>
        </w:rPr>
        <w:t>partner institutions</w:t>
      </w:r>
      <w:r w:rsidR="00074BE0" w:rsidRPr="00235450">
        <w:rPr>
          <w:szCs w:val="17"/>
        </w:rPr>
        <w:t xml:space="preserve"> </w:t>
      </w:r>
      <w:r w:rsidRPr="00235450">
        <w:rPr>
          <w:szCs w:val="17"/>
        </w:rPr>
        <w:t xml:space="preserve">to decide on admissions on the basis of </w:t>
      </w:r>
      <w:r w:rsidR="004E2B51" w:rsidRPr="00235450">
        <w:rPr>
          <w:szCs w:val="17"/>
        </w:rPr>
        <w:t>th</w:t>
      </w:r>
      <w:r w:rsidR="008C2070" w:rsidRPr="00235450">
        <w:rPr>
          <w:szCs w:val="17"/>
        </w:rPr>
        <w:t>e</w:t>
      </w:r>
      <w:r w:rsidR="004E2B51" w:rsidRPr="00235450">
        <w:rPr>
          <w:szCs w:val="17"/>
        </w:rPr>
        <w:t>s</w:t>
      </w:r>
      <w:r w:rsidR="008C2070" w:rsidRPr="00235450">
        <w:rPr>
          <w:szCs w:val="17"/>
        </w:rPr>
        <w:t>e</w:t>
      </w:r>
      <w:r w:rsidR="004E2B51" w:rsidRPr="00235450">
        <w:rPr>
          <w:szCs w:val="17"/>
        </w:rPr>
        <w:t xml:space="preserve"> regulation </w:t>
      </w:r>
      <w:r w:rsidRPr="00235450">
        <w:rPr>
          <w:szCs w:val="17"/>
        </w:rPr>
        <w:t xml:space="preserve"> and</w:t>
      </w:r>
      <w:r w:rsidR="004E2B51" w:rsidRPr="00235450">
        <w:rPr>
          <w:szCs w:val="17"/>
        </w:rPr>
        <w:t xml:space="preserve"> the </w:t>
      </w:r>
      <w:r w:rsidR="008C2070" w:rsidRPr="00235450">
        <w:rPr>
          <w:szCs w:val="17"/>
        </w:rPr>
        <w:t xml:space="preserve">MWT </w:t>
      </w:r>
      <w:r w:rsidR="004E2B51" w:rsidRPr="00235450">
        <w:rPr>
          <w:szCs w:val="17"/>
        </w:rPr>
        <w:t>Education and Examination Regulation</w:t>
      </w:r>
      <w:r w:rsidR="008C2070" w:rsidRPr="00235450">
        <w:rPr>
          <w:szCs w:val="17"/>
        </w:rPr>
        <w:t>s</w:t>
      </w:r>
      <w:r w:rsidR="004E2B51" w:rsidRPr="00235450">
        <w:rPr>
          <w:szCs w:val="17"/>
        </w:rPr>
        <w:t xml:space="preserve"> (EER) </w:t>
      </w:r>
      <w:r w:rsidRPr="00235450">
        <w:rPr>
          <w:szCs w:val="17"/>
        </w:rPr>
        <w:t>.</w:t>
      </w:r>
    </w:p>
    <w:p w14:paraId="08782061" w14:textId="77777777" w:rsidR="00437342" w:rsidRPr="00235450" w:rsidRDefault="00437342" w:rsidP="00437342">
      <w:pPr>
        <w:rPr>
          <w:szCs w:val="17"/>
        </w:rPr>
      </w:pPr>
    </w:p>
    <w:p w14:paraId="037EEEDA" w14:textId="77777777" w:rsidR="00437342" w:rsidRPr="00235450" w:rsidRDefault="00437342" w:rsidP="00437342">
      <w:pPr>
        <w:rPr>
          <w:szCs w:val="17"/>
        </w:rPr>
      </w:pPr>
      <w:r w:rsidRPr="00235450">
        <w:rPr>
          <w:szCs w:val="17"/>
        </w:rPr>
        <w:t>1.</w:t>
      </w:r>
      <w:r w:rsidRPr="00235450">
        <w:rPr>
          <w:szCs w:val="17"/>
        </w:rPr>
        <w:tab/>
        <w:t>Application regulations</w:t>
      </w:r>
    </w:p>
    <w:p w14:paraId="379DCADB" w14:textId="77777777" w:rsidR="00437342" w:rsidRPr="00235450" w:rsidRDefault="00437342" w:rsidP="00437342">
      <w:pPr>
        <w:rPr>
          <w:szCs w:val="17"/>
        </w:rPr>
      </w:pPr>
    </w:p>
    <w:p w14:paraId="3B7C0D19" w14:textId="0A93368E" w:rsidR="00437342" w:rsidRPr="00235450" w:rsidRDefault="00437342" w:rsidP="00437342">
      <w:pPr>
        <w:ind w:left="720" w:hanging="720"/>
        <w:rPr>
          <w:szCs w:val="17"/>
        </w:rPr>
      </w:pPr>
      <w:r w:rsidRPr="00235450">
        <w:rPr>
          <w:szCs w:val="17"/>
        </w:rPr>
        <w:t>1.1</w:t>
      </w:r>
      <w:r w:rsidRPr="00235450">
        <w:rPr>
          <w:szCs w:val="17"/>
        </w:rPr>
        <w:tab/>
        <w:t>Th</w:t>
      </w:r>
      <w:r w:rsidR="00AA4730" w:rsidRPr="00235450">
        <w:rPr>
          <w:szCs w:val="17"/>
        </w:rPr>
        <w:t xml:space="preserve">e prospective master’s student who is </w:t>
      </w:r>
      <w:r w:rsidRPr="00235450">
        <w:rPr>
          <w:szCs w:val="17"/>
        </w:rPr>
        <w:t xml:space="preserve">seeking admission to </w:t>
      </w:r>
      <w:r w:rsidR="00074BE0" w:rsidRPr="00235450">
        <w:rPr>
          <w:szCs w:val="17"/>
        </w:rPr>
        <w:t>the MWT</w:t>
      </w:r>
      <w:r w:rsidRPr="00235450">
        <w:rPr>
          <w:szCs w:val="17"/>
        </w:rPr>
        <w:t xml:space="preserve"> MSc programmes and do</w:t>
      </w:r>
      <w:r w:rsidR="00AA4730" w:rsidRPr="00235450">
        <w:rPr>
          <w:szCs w:val="17"/>
        </w:rPr>
        <w:t>es</w:t>
      </w:r>
      <w:r w:rsidRPr="00235450">
        <w:rPr>
          <w:szCs w:val="17"/>
        </w:rPr>
        <w:t xml:space="preserve"> not fulfil the requirements for unconditional admission, </w:t>
      </w:r>
      <w:r w:rsidR="00AA4730" w:rsidRPr="00235450">
        <w:rPr>
          <w:szCs w:val="17"/>
        </w:rPr>
        <w:t>is</w:t>
      </w:r>
      <w:r w:rsidRPr="00235450">
        <w:rPr>
          <w:szCs w:val="17"/>
        </w:rPr>
        <w:t xml:space="preserve"> required to submit an application via the WU website.</w:t>
      </w:r>
    </w:p>
    <w:p w14:paraId="210F543F" w14:textId="77777777" w:rsidR="00437342" w:rsidRPr="00235450" w:rsidRDefault="00437342" w:rsidP="00437342">
      <w:pPr>
        <w:ind w:left="720" w:hanging="720"/>
        <w:rPr>
          <w:szCs w:val="17"/>
        </w:rPr>
      </w:pPr>
    </w:p>
    <w:p w14:paraId="641FB865" w14:textId="70CF4938" w:rsidR="00437342" w:rsidRPr="00235450" w:rsidRDefault="00437342" w:rsidP="00437342">
      <w:pPr>
        <w:ind w:left="720" w:hanging="720"/>
        <w:rPr>
          <w:szCs w:val="17"/>
        </w:rPr>
      </w:pPr>
      <w:r w:rsidRPr="00235450">
        <w:rPr>
          <w:szCs w:val="17"/>
        </w:rPr>
        <w:t>1.2</w:t>
      </w:r>
      <w:r w:rsidRPr="00235450">
        <w:rPr>
          <w:szCs w:val="17"/>
        </w:rPr>
        <w:tab/>
        <w:t>The application</w:t>
      </w:r>
      <w:r w:rsidR="00AA4730" w:rsidRPr="00235450">
        <w:rPr>
          <w:szCs w:val="17"/>
        </w:rPr>
        <w:t xml:space="preserve"> including all necessary documents,</w:t>
      </w:r>
      <w:r w:rsidRPr="00235450">
        <w:rPr>
          <w:szCs w:val="17"/>
        </w:rPr>
        <w:t xml:space="preserve"> should be submitted before the </w:t>
      </w:r>
      <w:r w:rsidR="00AA4730" w:rsidRPr="00235450">
        <w:rPr>
          <w:szCs w:val="17"/>
        </w:rPr>
        <w:t xml:space="preserve">application </w:t>
      </w:r>
      <w:r w:rsidRPr="00235450">
        <w:rPr>
          <w:szCs w:val="17"/>
        </w:rPr>
        <w:t>deadline mentioned on the WU</w:t>
      </w:r>
      <w:hyperlink r:id="rId19" w:history="1">
        <w:r w:rsidRPr="00235450">
          <w:rPr>
            <w:rStyle w:val="Hyperlink"/>
            <w:szCs w:val="17"/>
          </w:rPr>
          <w:t xml:space="preserve"> website</w:t>
        </w:r>
      </w:hyperlink>
      <w:r w:rsidR="00905822" w:rsidRPr="00235450">
        <w:rPr>
          <w:szCs w:val="17"/>
        </w:rPr>
        <w:t>.</w:t>
      </w:r>
    </w:p>
    <w:p w14:paraId="2FF1EDC8" w14:textId="77777777" w:rsidR="00437342" w:rsidRPr="00235450" w:rsidRDefault="00437342" w:rsidP="00437342">
      <w:pPr>
        <w:ind w:left="720" w:hanging="720"/>
        <w:rPr>
          <w:szCs w:val="17"/>
        </w:rPr>
      </w:pPr>
    </w:p>
    <w:p w14:paraId="6F3BEB7E" w14:textId="6994E8C9" w:rsidR="00437342" w:rsidRDefault="00437342" w:rsidP="00437342">
      <w:pPr>
        <w:ind w:left="720" w:hanging="720"/>
        <w:rPr>
          <w:szCs w:val="17"/>
        </w:rPr>
      </w:pPr>
      <w:r w:rsidRPr="00235450">
        <w:rPr>
          <w:szCs w:val="17"/>
        </w:rPr>
        <w:t>1.3</w:t>
      </w:r>
      <w:r w:rsidRPr="00235450">
        <w:rPr>
          <w:szCs w:val="17"/>
        </w:rPr>
        <w:tab/>
      </w:r>
    </w:p>
    <w:p w14:paraId="100853AB" w14:textId="3EF3050D" w:rsidR="00F36838" w:rsidRPr="00F36838" w:rsidRDefault="00F36838" w:rsidP="00F36838">
      <w:pPr>
        <w:ind w:left="720"/>
        <w:rPr>
          <w:szCs w:val="17"/>
        </w:rPr>
      </w:pPr>
      <w:r w:rsidRPr="00F36838">
        <w:rPr>
          <w:szCs w:val="17"/>
        </w:rPr>
        <w:t>Only full applications are taken into consideration. The application includes:</w:t>
      </w:r>
    </w:p>
    <w:p w14:paraId="2A7E7055" w14:textId="5A769E3E" w:rsidR="00F36838" w:rsidRPr="00F36838" w:rsidRDefault="00F36838" w:rsidP="00F36838">
      <w:pPr>
        <w:pStyle w:val="Lijstalinea"/>
        <w:numPr>
          <w:ilvl w:val="0"/>
          <w:numId w:val="38"/>
        </w:numPr>
        <w:rPr>
          <w:szCs w:val="17"/>
        </w:rPr>
      </w:pPr>
      <w:r w:rsidRPr="00F36838">
        <w:rPr>
          <w:szCs w:val="17"/>
        </w:rPr>
        <w:t>A completed application form</w:t>
      </w:r>
    </w:p>
    <w:p w14:paraId="4FA842F9" w14:textId="41F88853" w:rsidR="00F36838" w:rsidRPr="00F36838" w:rsidRDefault="00F36838" w:rsidP="00F36838">
      <w:pPr>
        <w:pStyle w:val="Lijstalinea"/>
        <w:numPr>
          <w:ilvl w:val="0"/>
          <w:numId w:val="38"/>
        </w:numPr>
        <w:rPr>
          <w:szCs w:val="17"/>
        </w:rPr>
      </w:pPr>
      <w:r w:rsidRPr="00F36838">
        <w:rPr>
          <w:szCs w:val="17"/>
        </w:rPr>
        <w:t xml:space="preserve">Degree certificate </w:t>
      </w:r>
    </w:p>
    <w:p w14:paraId="051E18FC" w14:textId="2539B2C7" w:rsidR="00F36838" w:rsidRPr="00F36838" w:rsidRDefault="00F36838" w:rsidP="00F36838">
      <w:pPr>
        <w:pStyle w:val="Lijstalinea"/>
        <w:numPr>
          <w:ilvl w:val="0"/>
          <w:numId w:val="38"/>
        </w:numPr>
        <w:rPr>
          <w:szCs w:val="17"/>
        </w:rPr>
      </w:pPr>
      <w:r w:rsidRPr="00F36838">
        <w:rPr>
          <w:szCs w:val="17"/>
        </w:rPr>
        <w:t xml:space="preserve">Transcript of academic records </w:t>
      </w:r>
    </w:p>
    <w:p w14:paraId="6EB13CCF" w14:textId="1ED51F5F" w:rsidR="00F36838" w:rsidRPr="00F36838" w:rsidRDefault="00F36838" w:rsidP="00F36838">
      <w:pPr>
        <w:pStyle w:val="Lijstalinea"/>
        <w:numPr>
          <w:ilvl w:val="0"/>
          <w:numId w:val="38"/>
        </w:numPr>
        <w:rPr>
          <w:szCs w:val="17"/>
        </w:rPr>
      </w:pPr>
      <w:r w:rsidRPr="00F36838">
        <w:rPr>
          <w:szCs w:val="17"/>
        </w:rPr>
        <w:t>English language proficiency test results</w:t>
      </w:r>
    </w:p>
    <w:p w14:paraId="2076B30F" w14:textId="097D442A" w:rsidR="00F36838" w:rsidRPr="00F36838" w:rsidRDefault="00F36838" w:rsidP="00F36838">
      <w:pPr>
        <w:pStyle w:val="Lijstalinea"/>
        <w:numPr>
          <w:ilvl w:val="0"/>
          <w:numId w:val="38"/>
        </w:numPr>
        <w:rPr>
          <w:szCs w:val="17"/>
        </w:rPr>
      </w:pPr>
      <w:r w:rsidRPr="00F36838">
        <w:rPr>
          <w:szCs w:val="17"/>
        </w:rPr>
        <w:t>A statement of purpose/motivation</w:t>
      </w:r>
    </w:p>
    <w:p w14:paraId="04C0029F" w14:textId="785CB005" w:rsidR="00F36838" w:rsidRPr="00F36838" w:rsidRDefault="00F36838" w:rsidP="00F36838">
      <w:pPr>
        <w:pStyle w:val="Lijstalinea"/>
        <w:numPr>
          <w:ilvl w:val="0"/>
          <w:numId w:val="38"/>
        </w:numPr>
        <w:rPr>
          <w:szCs w:val="17"/>
        </w:rPr>
      </w:pPr>
      <w:r w:rsidRPr="00F36838">
        <w:rPr>
          <w:szCs w:val="17"/>
        </w:rPr>
        <w:t>A typed Curriculum Vitae</w:t>
      </w:r>
    </w:p>
    <w:p w14:paraId="3BEA8999" w14:textId="77777777" w:rsidR="00F36838" w:rsidRDefault="00F36838" w:rsidP="00F36838">
      <w:pPr>
        <w:ind w:left="709"/>
        <w:rPr>
          <w:szCs w:val="17"/>
        </w:rPr>
      </w:pPr>
    </w:p>
    <w:p w14:paraId="7A274E94" w14:textId="5977043B" w:rsidR="00F36838" w:rsidRPr="00F36838" w:rsidRDefault="00F36838" w:rsidP="00F36838">
      <w:pPr>
        <w:ind w:left="720" w:hanging="720"/>
        <w:rPr>
          <w:szCs w:val="17"/>
        </w:rPr>
      </w:pPr>
      <w:r w:rsidRPr="00F36838">
        <w:rPr>
          <w:szCs w:val="17"/>
        </w:rPr>
        <w:t>1.4</w:t>
      </w:r>
      <w:r>
        <w:rPr>
          <w:szCs w:val="17"/>
        </w:rPr>
        <w:tab/>
      </w:r>
      <w:r w:rsidRPr="00F36838">
        <w:rPr>
          <w:szCs w:val="17"/>
        </w:rPr>
        <w:t>With regard to Article 1.</w:t>
      </w:r>
      <w:r>
        <w:rPr>
          <w:szCs w:val="17"/>
        </w:rPr>
        <w:t>3</w:t>
      </w:r>
      <w:r w:rsidRPr="00F36838">
        <w:rPr>
          <w:szCs w:val="17"/>
        </w:rPr>
        <w:t xml:space="preserve"> under </w:t>
      </w:r>
      <w:r>
        <w:rPr>
          <w:szCs w:val="17"/>
        </w:rPr>
        <w:t>b</w:t>
      </w:r>
      <w:r w:rsidRPr="00F36838">
        <w:rPr>
          <w:szCs w:val="17"/>
        </w:rPr>
        <w:t xml:space="preserve"> and </w:t>
      </w:r>
      <w:r>
        <w:rPr>
          <w:szCs w:val="17"/>
        </w:rPr>
        <w:t>c</w:t>
      </w:r>
      <w:r w:rsidRPr="00F36838">
        <w:rPr>
          <w:szCs w:val="17"/>
        </w:rPr>
        <w:t>, if the prospective Master's student is unable to submit these documents because the diploma has not yet been obtained, the prospective Master's student will be conditionally admitted. The condition is that the prospective Master’s student must still submit the diploma and the transcript of academic records at a later date, but before the deadline. SSC informs the prospective student of the deadline.</w:t>
      </w:r>
    </w:p>
    <w:p w14:paraId="235FAA62" w14:textId="505BBE5D" w:rsidR="00437342" w:rsidRPr="00235450" w:rsidRDefault="00437342" w:rsidP="00437342">
      <w:pPr>
        <w:rPr>
          <w:szCs w:val="17"/>
        </w:rPr>
      </w:pPr>
      <w:r w:rsidRPr="00235450">
        <w:rPr>
          <w:szCs w:val="17"/>
        </w:rPr>
        <w:tab/>
      </w:r>
    </w:p>
    <w:p w14:paraId="28183D95" w14:textId="77777777" w:rsidR="00437342" w:rsidRPr="00235450" w:rsidRDefault="00437342" w:rsidP="00437342">
      <w:pPr>
        <w:rPr>
          <w:szCs w:val="17"/>
        </w:rPr>
      </w:pPr>
      <w:r w:rsidRPr="00235450">
        <w:rPr>
          <w:szCs w:val="17"/>
        </w:rPr>
        <w:t>2.</w:t>
      </w:r>
      <w:r w:rsidRPr="00235450">
        <w:rPr>
          <w:szCs w:val="17"/>
        </w:rPr>
        <w:tab/>
        <w:t>Admission requirements</w:t>
      </w:r>
    </w:p>
    <w:p w14:paraId="44FF37A6" w14:textId="77777777" w:rsidR="00437342" w:rsidRPr="00235450" w:rsidRDefault="00437342" w:rsidP="00437342">
      <w:pPr>
        <w:rPr>
          <w:szCs w:val="17"/>
        </w:rPr>
      </w:pPr>
    </w:p>
    <w:p w14:paraId="0E06AFD4" w14:textId="6DB761F9" w:rsidR="00437342" w:rsidRPr="00235450" w:rsidRDefault="00437342" w:rsidP="00437342">
      <w:pPr>
        <w:rPr>
          <w:szCs w:val="17"/>
        </w:rPr>
      </w:pPr>
      <w:r w:rsidRPr="00235450">
        <w:rPr>
          <w:szCs w:val="17"/>
        </w:rPr>
        <w:t>2.1</w:t>
      </w:r>
      <w:r w:rsidRPr="00235450">
        <w:rPr>
          <w:szCs w:val="17"/>
        </w:rPr>
        <w:tab/>
      </w:r>
      <w:r w:rsidR="00AA4730" w:rsidRPr="00235450">
        <w:rPr>
          <w:szCs w:val="17"/>
        </w:rPr>
        <w:t>The a</w:t>
      </w:r>
      <w:r w:rsidRPr="00235450">
        <w:rPr>
          <w:szCs w:val="17"/>
        </w:rPr>
        <w:t xml:space="preserve">pplication will be evaluated </w:t>
      </w:r>
      <w:r w:rsidR="00B30EA4" w:rsidRPr="00235450">
        <w:rPr>
          <w:szCs w:val="17"/>
        </w:rPr>
        <w:t>in accordance with</w:t>
      </w:r>
      <w:r w:rsidRPr="00235450">
        <w:rPr>
          <w:szCs w:val="17"/>
        </w:rPr>
        <w:t xml:space="preserve"> t</w:t>
      </w:r>
      <w:r w:rsidR="00B30EA4" w:rsidRPr="00235450">
        <w:rPr>
          <w:szCs w:val="17"/>
        </w:rPr>
        <w:t>he following general admission criteria</w:t>
      </w:r>
      <w:r w:rsidRPr="00235450">
        <w:rPr>
          <w:szCs w:val="17"/>
        </w:rPr>
        <w:t xml:space="preserve">: </w:t>
      </w:r>
    </w:p>
    <w:p w14:paraId="3194074C" w14:textId="54CE0D7C" w:rsidR="00437342" w:rsidRPr="00235450" w:rsidRDefault="00437342" w:rsidP="00AA278F">
      <w:pPr>
        <w:ind w:left="720" w:hanging="720"/>
        <w:rPr>
          <w:szCs w:val="17"/>
        </w:rPr>
      </w:pPr>
      <w:r w:rsidRPr="00235450">
        <w:rPr>
          <w:szCs w:val="17"/>
        </w:rPr>
        <w:t>a)</w:t>
      </w:r>
      <w:r w:rsidRPr="00235450">
        <w:rPr>
          <w:szCs w:val="17"/>
        </w:rPr>
        <w:tab/>
        <w:t xml:space="preserve">Level: a BSc degree (or an equivalent </w:t>
      </w:r>
      <w:r w:rsidR="00135E9A" w:rsidRPr="00235450">
        <w:rPr>
          <w:szCs w:val="17"/>
        </w:rPr>
        <w:t xml:space="preserve">grade </w:t>
      </w:r>
      <w:r w:rsidRPr="00235450">
        <w:rPr>
          <w:szCs w:val="17"/>
        </w:rPr>
        <w:t xml:space="preserve">at ISCED level 5A) in a field of science relevant to the </w:t>
      </w:r>
      <w:r w:rsidR="00AA278F" w:rsidRPr="00235450">
        <w:rPr>
          <w:szCs w:val="17"/>
        </w:rPr>
        <w:t>field of water technology</w:t>
      </w:r>
      <w:r w:rsidRPr="00235450">
        <w:rPr>
          <w:szCs w:val="17"/>
        </w:rPr>
        <w:t xml:space="preserve">. A BSc degree is considered </w:t>
      </w:r>
      <w:r w:rsidR="00135E9A" w:rsidRPr="00235450">
        <w:rPr>
          <w:szCs w:val="17"/>
        </w:rPr>
        <w:t>sufficient</w:t>
      </w:r>
      <w:r w:rsidRPr="00235450">
        <w:rPr>
          <w:szCs w:val="17"/>
        </w:rPr>
        <w:t xml:space="preserve"> if the applicant is expected to be able to finish the programme </w:t>
      </w:r>
      <w:r w:rsidR="00AA4730" w:rsidRPr="00235450">
        <w:rPr>
          <w:szCs w:val="17"/>
        </w:rPr>
        <w:t>without delay.</w:t>
      </w:r>
      <w:r w:rsidR="00AA278F" w:rsidRPr="00235450">
        <w:t xml:space="preserve"> </w:t>
      </w:r>
      <w:r w:rsidR="00322423" w:rsidRPr="00235450">
        <w:t>Relevant can be a</w:t>
      </w:r>
      <w:r w:rsidR="00AA278F" w:rsidRPr="00235450">
        <w:rPr>
          <w:szCs w:val="17"/>
        </w:rPr>
        <w:t xml:space="preserve"> BSc degree in chemical engineering, biotechnology, environmental engineering or in another natural/technological </w:t>
      </w:r>
      <w:r w:rsidR="00AA278F" w:rsidRPr="00235450">
        <w:rPr>
          <w:szCs w:val="17"/>
        </w:rPr>
        <w:lastRenderedPageBreak/>
        <w:t>oriented field related to water. A Dutch bachelor degree (HBO) related to one of the topics mentioned above is also relevant for admission to the MSc programme Water Technology.</w:t>
      </w:r>
    </w:p>
    <w:p w14:paraId="16E8B9B1" w14:textId="7EF03A7A" w:rsidR="00437342" w:rsidRPr="00235450" w:rsidRDefault="00437342" w:rsidP="00437342">
      <w:pPr>
        <w:ind w:left="720" w:hanging="720"/>
        <w:rPr>
          <w:szCs w:val="17"/>
        </w:rPr>
      </w:pPr>
      <w:r w:rsidRPr="00235450">
        <w:rPr>
          <w:szCs w:val="17"/>
        </w:rPr>
        <w:t>b)</w:t>
      </w:r>
      <w:r w:rsidRPr="00235450">
        <w:rPr>
          <w:szCs w:val="17"/>
        </w:rPr>
        <w:tab/>
        <w:t>Quality:</w:t>
      </w:r>
      <w:r w:rsidR="00AA4730" w:rsidRPr="00235450">
        <w:rPr>
          <w:szCs w:val="17"/>
        </w:rPr>
        <w:t xml:space="preserve"> sufficient quality o</w:t>
      </w:r>
      <w:r w:rsidR="00EA6DC1" w:rsidRPr="00235450">
        <w:rPr>
          <w:szCs w:val="17"/>
        </w:rPr>
        <w:t>f</w:t>
      </w:r>
      <w:r w:rsidRPr="00235450">
        <w:rPr>
          <w:szCs w:val="17"/>
        </w:rPr>
        <w:t xml:space="preserve"> </w:t>
      </w:r>
      <w:r w:rsidR="00135E9A" w:rsidRPr="00235450">
        <w:rPr>
          <w:szCs w:val="17"/>
        </w:rPr>
        <w:t>the</w:t>
      </w:r>
      <w:r w:rsidRPr="00235450">
        <w:rPr>
          <w:szCs w:val="17"/>
        </w:rPr>
        <w:t xml:space="preserve"> BSc degree</w:t>
      </w:r>
      <w:r w:rsidR="00AA4730" w:rsidRPr="00235450">
        <w:rPr>
          <w:szCs w:val="17"/>
        </w:rPr>
        <w:t xml:space="preserve"> and the sufficient abilities and knowledge of the student, as shown</w:t>
      </w:r>
      <w:r w:rsidRPr="00235450">
        <w:rPr>
          <w:szCs w:val="17"/>
        </w:rPr>
        <w:t xml:space="preserve"> by an </w:t>
      </w:r>
      <w:r w:rsidR="00CD6BF9" w:rsidRPr="00235450">
        <w:rPr>
          <w:szCs w:val="17"/>
        </w:rPr>
        <w:t xml:space="preserve">grade point </w:t>
      </w:r>
      <w:r w:rsidRPr="00235450">
        <w:rPr>
          <w:szCs w:val="17"/>
        </w:rPr>
        <w:t>average</w:t>
      </w:r>
      <w:r w:rsidR="00CD6BF9" w:rsidRPr="00235450">
        <w:rPr>
          <w:szCs w:val="17"/>
        </w:rPr>
        <w:t xml:space="preserve"> (GPA)</w:t>
      </w:r>
      <w:r w:rsidRPr="00235450">
        <w:rPr>
          <w:szCs w:val="17"/>
        </w:rPr>
        <w:t xml:space="preserve"> </w:t>
      </w:r>
      <w:r w:rsidR="00CD6BF9" w:rsidRPr="00235450">
        <w:rPr>
          <w:szCs w:val="17"/>
        </w:rPr>
        <w:t xml:space="preserve">for the BSc of at least 70% of the maximum grade </w:t>
      </w:r>
      <w:r w:rsidRPr="00235450">
        <w:rPr>
          <w:szCs w:val="17"/>
        </w:rPr>
        <w:t xml:space="preserve">(Dutch system), </w:t>
      </w:r>
      <w:r w:rsidR="00FE7854" w:rsidRPr="00FE7854">
        <w:rPr>
          <w:szCs w:val="17"/>
        </w:rPr>
        <w:t>or the international equivalent</w:t>
      </w:r>
      <w:r w:rsidRPr="00235450">
        <w:rPr>
          <w:szCs w:val="17"/>
        </w:rPr>
        <w:t xml:space="preserve">. Detailed information on other </w:t>
      </w:r>
      <w:r w:rsidR="00B30EA4" w:rsidRPr="00235450">
        <w:rPr>
          <w:szCs w:val="17"/>
        </w:rPr>
        <w:t xml:space="preserve">equivalent </w:t>
      </w:r>
      <w:r w:rsidRPr="00235450">
        <w:rPr>
          <w:szCs w:val="17"/>
        </w:rPr>
        <w:t xml:space="preserve">international </w:t>
      </w:r>
      <w:r w:rsidR="00135E9A" w:rsidRPr="00235450">
        <w:rPr>
          <w:szCs w:val="17"/>
        </w:rPr>
        <w:t xml:space="preserve">grades required </w:t>
      </w:r>
      <w:r w:rsidRPr="00235450">
        <w:rPr>
          <w:szCs w:val="17"/>
        </w:rPr>
        <w:t>is published on the WU website.</w:t>
      </w:r>
    </w:p>
    <w:p w14:paraId="21AFCCF1" w14:textId="19236A2D" w:rsidR="00384BD6" w:rsidRPr="00235450" w:rsidRDefault="00437342" w:rsidP="00437342">
      <w:pPr>
        <w:ind w:left="720" w:hanging="720"/>
        <w:rPr>
          <w:rStyle w:val="Hyperlink"/>
          <w:szCs w:val="17"/>
        </w:rPr>
      </w:pPr>
      <w:r w:rsidRPr="00235450">
        <w:rPr>
          <w:szCs w:val="17"/>
        </w:rPr>
        <w:t>c)</w:t>
      </w:r>
      <w:r w:rsidRPr="00235450">
        <w:rPr>
          <w:szCs w:val="17"/>
        </w:rPr>
        <w:tab/>
        <w:t xml:space="preserve">English proficiency: an IELTS (academic) overall score of 6.0 and </w:t>
      </w:r>
      <w:r w:rsidR="007B357F" w:rsidRPr="00235450">
        <w:rPr>
          <w:szCs w:val="17"/>
        </w:rPr>
        <w:t>minimum</w:t>
      </w:r>
      <w:r w:rsidRPr="00235450">
        <w:rPr>
          <w:szCs w:val="17"/>
        </w:rPr>
        <w:t xml:space="preserve"> sub-score of 6.0 for </w:t>
      </w:r>
      <w:r w:rsidR="00B30EA4" w:rsidRPr="00235450">
        <w:rPr>
          <w:szCs w:val="17"/>
        </w:rPr>
        <w:t>the spoken language</w:t>
      </w:r>
      <w:r w:rsidRPr="00235450">
        <w:rPr>
          <w:szCs w:val="17"/>
        </w:rPr>
        <w:t>. Detailed information on equivalent</w:t>
      </w:r>
      <w:r w:rsidR="00B30EA4" w:rsidRPr="00235450">
        <w:rPr>
          <w:szCs w:val="17"/>
        </w:rPr>
        <w:t xml:space="preserve"> grades</w:t>
      </w:r>
      <w:r w:rsidRPr="00235450">
        <w:rPr>
          <w:szCs w:val="17"/>
        </w:rPr>
        <w:t xml:space="preserve"> is published at the </w:t>
      </w:r>
      <w:hyperlink r:id="rId20" w:history="1">
        <w:r w:rsidRPr="00235450">
          <w:rPr>
            <w:rStyle w:val="Hyperlink"/>
            <w:szCs w:val="17"/>
          </w:rPr>
          <w:t>WU website</w:t>
        </w:r>
      </w:hyperlink>
      <w:r w:rsidR="00905822" w:rsidRPr="00235450">
        <w:rPr>
          <w:szCs w:val="17"/>
        </w:rPr>
        <w:t>.</w:t>
      </w:r>
      <w:r w:rsidR="00905822" w:rsidRPr="00235450">
        <w:rPr>
          <w:rStyle w:val="Hyperlink"/>
          <w:szCs w:val="17"/>
        </w:rPr>
        <w:t xml:space="preserve"> </w:t>
      </w:r>
    </w:p>
    <w:p w14:paraId="16F28D54" w14:textId="6DFACA6A" w:rsidR="00AA278F" w:rsidRPr="00235450" w:rsidRDefault="008D1E80" w:rsidP="00905822">
      <w:pPr>
        <w:ind w:left="720" w:hanging="720"/>
        <w:rPr>
          <w:color w:val="000000" w:themeColor="text1"/>
          <w:szCs w:val="17"/>
        </w:rPr>
      </w:pPr>
      <w:r w:rsidRPr="00235450">
        <w:rPr>
          <w:rStyle w:val="Hyperlink"/>
          <w:color w:val="000000" w:themeColor="text1"/>
          <w:szCs w:val="17"/>
          <w:u w:val="none"/>
        </w:rPr>
        <w:t>d)</w:t>
      </w:r>
      <w:r w:rsidRPr="00235450">
        <w:rPr>
          <w:rStyle w:val="Hyperlink"/>
          <w:color w:val="000000" w:themeColor="text1"/>
          <w:szCs w:val="17"/>
          <w:u w:val="none"/>
        </w:rPr>
        <w:tab/>
        <w:t>Affinity with the field of water (technology), shown by the thesis or internship topic, publications or working experiences.</w:t>
      </w:r>
    </w:p>
    <w:p w14:paraId="366245E7" w14:textId="77777777" w:rsidR="00437342" w:rsidRPr="00235450" w:rsidRDefault="00437342" w:rsidP="00B30EA4">
      <w:pPr>
        <w:ind w:left="720" w:hanging="720"/>
        <w:rPr>
          <w:szCs w:val="17"/>
        </w:rPr>
      </w:pPr>
      <w:r w:rsidRPr="00235450">
        <w:rPr>
          <w:szCs w:val="17"/>
        </w:rPr>
        <w:t>2.2</w:t>
      </w:r>
      <w:r w:rsidRPr="00235450">
        <w:rPr>
          <w:szCs w:val="17"/>
        </w:rPr>
        <w:tab/>
      </w:r>
      <w:r w:rsidR="00B30EA4" w:rsidRPr="00235450">
        <w:rPr>
          <w:szCs w:val="17"/>
        </w:rPr>
        <w:t>Students holding a</w:t>
      </w:r>
      <w:r w:rsidRPr="00235450">
        <w:rPr>
          <w:szCs w:val="17"/>
        </w:rPr>
        <w:t xml:space="preserve"> BSc degree </w:t>
      </w:r>
      <w:r w:rsidR="00B30EA4" w:rsidRPr="00235450">
        <w:rPr>
          <w:szCs w:val="17"/>
        </w:rPr>
        <w:t>which just falls short</w:t>
      </w:r>
      <w:r w:rsidRPr="00235450">
        <w:rPr>
          <w:szCs w:val="17"/>
        </w:rPr>
        <w:t xml:space="preserve"> of the</w:t>
      </w:r>
      <w:r w:rsidR="00B30EA4" w:rsidRPr="00235450">
        <w:rPr>
          <w:szCs w:val="17"/>
        </w:rPr>
        <w:t xml:space="preserve"> level of</w:t>
      </w:r>
      <w:r w:rsidRPr="00235450">
        <w:rPr>
          <w:szCs w:val="17"/>
        </w:rPr>
        <w:t xml:space="preserve"> requirements mentioned in 2.1b can only </w:t>
      </w:r>
      <w:r w:rsidR="00B30EA4" w:rsidRPr="00235450">
        <w:rPr>
          <w:szCs w:val="17"/>
        </w:rPr>
        <w:t xml:space="preserve">be admitted at </w:t>
      </w:r>
      <w:r w:rsidRPr="00235450">
        <w:rPr>
          <w:szCs w:val="17"/>
        </w:rPr>
        <w:t>the discretion of the Admission Board</w:t>
      </w:r>
      <w:r w:rsidR="007B357F" w:rsidRPr="00235450">
        <w:rPr>
          <w:szCs w:val="17"/>
        </w:rPr>
        <w:t>, and</w:t>
      </w:r>
      <w:r w:rsidR="00B30EA4" w:rsidRPr="00235450">
        <w:rPr>
          <w:szCs w:val="17"/>
        </w:rPr>
        <w:t xml:space="preserve"> the following factors shall be taken into consideration</w:t>
      </w:r>
      <w:r w:rsidRPr="00235450">
        <w:rPr>
          <w:szCs w:val="17"/>
        </w:rPr>
        <w:t>:</w:t>
      </w:r>
    </w:p>
    <w:p w14:paraId="73207DE4" w14:textId="77777777" w:rsidR="00437342" w:rsidRPr="00235450" w:rsidRDefault="00437342" w:rsidP="00437342">
      <w:pPr>
        <w:rPr>
          <w:szCs w:val="17"/>
        </w:rPr>
      </w:pPr>
      <w:r w:rsidRPr="00235450">
        <w:rPr>
          <w:szCs w:val="17"/>
        </w:rPr>
        <w:t>a)</w:t>
      </w:r>
      <w:r w:rsidRPr="00235450">
        <w:rPr>
          <w:szCs w:val="17"/>
        </w:rPr>
        <w:tab/>
        <w:t>Thesis result;</w:t>
      </w:r>
    </w:p>
    <w:p w14:paraId="408A7EE7" w14:textId="77777777" w:rsidR="00437342" w:rsidRPr="00235450" w:rsidRDefault="00437342" w:rsidP="00437342">
      <w:pPr>
        <w:rPr>
          <w:szCs w:val="17"/>
        </w:rPr>
      </w:pPr>
      <w:r w:rsidRPr="00235450">
        <w:rPr>
          <w:szCs w:val="17"/>
        </w:rPr>
        <w:t>b)</w:t>
      </w:r>
      <w:r w:rsidRPr="00235450">
        <w:rPr>
          <w:szCs w:val="17"/>
        </w:rPr>
        <w:tab/>
      </w:r>
      <w:r w:rsidR="00B30EA4" w:rsidRPr="00235450">
        <w:rPr>
          <w:szCs w:val="17"/>
        </w:rPr>
        <w:t>Exam s</w:t>
      </w:r>
      <w:r w:rsidRPr="00235450">
        <w:rPr>
          <w:szCs w:val="17"/>
        </w:rPr>
        <w:t>cores for the courses that are of particular relevance to the MSc programme applied for;</w:t>
      </w:r>
    </w:p>
    <w:p w14:paraId="1C332D20" w14:textId="61004D55" w:rsidR="00437342" w:rsidRPr="00235450" w:rsidRDefault="00437342" w:rsidP="00437342">
      <w:pPr>
        <w:rPr>
          <w:szCs w:val="17"/>
        </w:rPr>
      </w:pPr>
      <w:r w:rsidRPr="00235450">
        <w:rPr>
          <w:szCs w:val="17"/>
        </w:rPr>
        <w:t>c)</w:t>
      </w:r>
      <w:r w:rsidRPr="00235450">
        <w:rPr>
          <w:szCs w:val="17"/>
        </w:rPr>
        <w:tab/>
        <w:t xml:space="preserve">Indisputable upward trend </w:t>
      </w:r>
      <w:r w:rsidR="00B30EA4" w:rsidRPr="00235450">
        <w:rPr>
          <w:szCs w:val="17"/>
        </w:rPr>
        <w:t>in</w:t>
      </w:r>
      <w:r w:rsidRPr="00235450">
        <w:rPr>
          <w:szCs w:val="17"/>
        </w:rPr>
        <w:t xml:space="preserve"> course grades</w:t>
      </w:r>
      <w:r w:rsidR="00FE7854">
        <w:rPr>
          <w:szCs w:val="17"/>
        </w:rPr>
        <w:t>.</w:t>
      </w:r>
    </w:p>
    <w:p w14:paraId="6D1E1B03" w14:textId="77777777" w:rsidR="00437342" w:rsidRPr="00235450" w:rsidRDefault="00437342" w:rsidP="00437342">
      <w:pPr>
        <w:rPr>
          <w:szCs w:val="17"/>
        </w:rPr>
      </w:pPr>
    </w:p>
    <w:p w14:paraId="794F3308" w14:textId="77777777" w:rsidR="00437342" w:rsidRPr="00235450" w:rsidRDefault="00437342" w:rsidP="00437342">
      <w:pPr>
        <w:rPr>
          <w:szCs w:val="17"/>
        </w:rPr>
      </w:pPr>
    </w:p>
    <w:p w14:paraId="6E65B6BC" w14:textId="77777777" w:rsidR="00437342" w:rsidRPr="00235450" w:rsidRDefault="00437342" w:rsidP="00437342">
      <w:pPr>
        <w:rPr>
          <w:szCs w:val="17"/>
        </w:rPr>
      </w:pPr>
      <w:r w:rsidRPr="00235450">
        <w:rPr>
          <w:szCs w:val="17"/>
        </w:rPr>
        <w:t>4.</w:t>
      </w:r>
      <w:r w:rsidRPr="00235450">
        <w:rPr>
          <w:szCs w:val="17"/>
        </w:rPr>
        <w:tab/>
        <w:t>Admission decision</w:t>
      </w:r>
    </w:p>
    <w:p w14:paraId="4F203BAA" w14:textId="77777777" w:rsidR="00437342" w:rsidRPr="00235450" w:rsidRDefault="00437342" w:rsidP="00437342">
      <w:pPr>
        <w:rPr>
          <w:szCs w:val="17"/>
        </w:rPr>
      </w:pPr>
    </w:p>
    <w:p w14:paraId="229DBBDB" w14:textId="260563DD" w:rsidR="00437342" w:rsidRPr="00235450" w:rsidRDefault="00437342" w:rsidP="00437342">
      <w:pPr>
        <w:ind w:left="720" w:hanging="720"/>
        <w:rPr>
          <w:szCs w:val="17"/>
        </w:rPr>
      </w:pPr>
      <w:r w:rsidRPr="00235450">
        <w:rPr>
          <w:szCs w:val="17"/>
        </w:rPr>
        <w:t>4.1</w:t>
      </w:r>
      <w:r w:rsidRPr="00235450">
        <w:rPr>
          <w:szCs w:val="17"/>
        </w:rPr>
        <w:tab/>
      </w:r>
      <w:r w:rsidR="005450BE" w:rsidRPr="00235450">
        <w:rPr>
          <w:szCs w:val="17"/>
        </w:rPr>
        <w:t xml:space="preserve">The admission decision is taken by </w:t>
      </w:r>
      <w:r w:rsidRPr="00235450">
        <w:rPr>
          <w:szCs w:val="17"/>
        </w:rPr>
        <w:t xml:space="preserve"> the Admission Board on behalf of the </w:t>
      </w:r>
      <w:r w:rsidR="00957C0E" w:rsidRPr="00235450">
        <w:rPr>
          <w:szCs w:val="17"/>
        </w:rPr>
        <w:t xml:space="preserve">joint </w:t>
      </w:r>
      <w:r w:rsidR="00B1177B" w:rsidRPr="00235450">
        <w:rPr>
          <w:szCs w:val="17"/>
        </w:rPr>
        <w:t>partner institutions</w:t>
      </w:r>
      <w:r w:rsidRPr="00235450">
        <w:rPr>
          <w:szCs w:val="17"/>
        </w:rPr>
        <w:t>.</w:t>
      </w:r>
    </w:p>
    <w:p w14:paraId="183C84E5" w14:textId="70375B6B" w:rsidR="00437342" w:rsidRPr="00235450" w:rsidRDefault="00437342" w:rsidP="00437342">
      <w:pPr>
        <w:ind w:left="720" w:hanging="720"/>
        <w:rPr>
          <w:szCs w:val="17"/>
        </w:rPr>
      </w:pPr>
      <w:r w:rsidRPr="00235450">
        <w:rPr>
          <w:szCs w:val="17"/>
        </w:rPr>
        <w:t>4.2</w:t>
      </w:r>
      <w:r w:rsidRPr="00235450">
        <w:rPr>
          <w:szCs w:val="17"/>
        </w:rPr>
        <w:tab/>
      </w:r>
      <w:r w:rsidR="005450BE" w:rsidRPr="00235450">
        <w:rPr>
          <w:szCs w:val="17"/>
        </w:rPr>
        <w:t>The a</w:t>
      </w:r>
      <w:r w:rsidRPr="00235450">
        <w:rPr>
          <w:szCs w:val="17"/>
        </w:rPr>
        <w:t xml:space="preserve">pplicant </w:t>
      </w:r>
      <w:r w:rsidR="005450BE" w:rsidRPr="00235450">
        <w:rPr>
          <w:szCs w:val="17"/>
        </w:rPr>
        <w:t xml:space="preserve">will </w:t>
      </w:r>
      <w:r w:rsidRPr="00235450">
        <w:rPr>
          <w:szCs w:val="17"/>
        </w:rPr>
        <w:t xml:space="preserve">receive </w:t>
      </w:r>
      <w:r w:rsidR="005450BE" w:rsidRPr="00235450">
        <w:rPr>
          <w:szCs w:val="17"/>
        </w:rPr>
        <w:t xml:space="preserve">the </w:t>
      </w:r>
      <w:r w:rsidR="003C465E" w:rsidRPr="00235450">
        <w:rPr>
          <w:szCs w:val="17"/>
        </w:rPr>
        <w:t>admission</w:t>
      </w:r>
      <w:r w:rsidRPr="00235450">
        <w:rPr>
          <w:szCs w:val="17"/>
        </w:rPr>
        <w:t xml:space="preserve"> decision ultimately </w:t>
      </w:r>
      <w:r w:rsidR="005450BE" w:rsidRPr="00235450">
        <w:rPr>
          <w:szCs w:val="17"/>
        </w:rPr>
        <w:t>8 weeks</w:t>
      </w:r>
      <w:r w:rsidRPr="00235450">
        <w:rPr>
          <w:szCs w:val="17"/>
        </w:rPr>
        <w:t xml:space="preserve"> after the complete application </w:t>
      </w:r>
      <w:r w:rsidR="005450BE" w:rsidRPr="00235450">
        <w:rPr>
          <w:szCs w:val="17"/>
        </w:rPr>
        <w:t>was</w:t>
      </w:r>
      <w:r w:rsidRPr="00235450">
        <w:rPr>
          <w:szCs w:val="17"/>
        </w:rPr>
        <w:t xml:space="preserve"> submitted.</w:t>
      </w:r>
    </w:p>
    <w:p w14:paraId="64C311D7" w14:textId="4C349D7F" w:rsidR="00437342" w:rsidRPr="00235450" w:rsidRDefault="00437342" w:rsidP="00437342">
      <w:pPr>
        <w:ind w:left="720" w:hanging="720"/>
        <w:rPr>
          <w:szCs w:val="17"/>
        </w:rPr>
      </w:pPr>
      <w:r w:rsidRPr="00235450">
        <w:rPr>
          <w:szCs w:val="17"/>
        </w:rPr>
        <w:t>4.3</w:t>
      </w:r>
      <w:r w:rsidRPr="00235450">
        <w:rPr>
          <w:szCs w:val="17"/>
        </w:rPr>
        <w:tab/>
      </w:r>
      <w:r w:rsidR="005450BE" w:rsidRPr="00235450">
        <w:rPr>
          <w:szCs w:val="17"/>
        </w:rPr>
        <w:t>The a</w:t>
      </w:r>
      <w:r w:rsidRPr="00235450">
        <w:rPr>
          <w:szCs w:val="17"/>
        </w:rPr>
        <w:t xml:space="preserve">pplicant can be admitted </w:t>
      </w:r>
      <w:r w:rsidR="005450BE" w:rsidRPr="00235450">
        <w:rPr>
          <w:szCs w:val="17"/>
        </w:rPr>
        <w:t xml:space="preserve">provisionally </w:t>
      </w:r>
      <w:r w:rsidRPr="00235450">
        <w:rPr>
          <w:szCs w:val="17"/>
        </w:rPr>
        <w:t xml:space="preserve">if the </w:t>
      </w:r>
      <w:r w:rsidR="00905822" w:rsidRPr="00235450">
        <w:rPr>
          <w:szCs w:val="17"/>
        </w:rPr>
        <w:t>b</w:t>
      </w:r>
      <w:r w:rsidRPr="00235450">
        <w:rPr>
          <w:szCs w:val="17"/>
        </w:rPr>
        <w:t>achelor’s degree certificate has</w:t>
      </w:r>
      <w:r w:rsidR="00B30EA4" w:rsidRPr="00235450">
        <w:rPr>
          <w:szCs w:val="17"/>
        </w:rPr>
        <w:t xml:space="preserve"> not</w:t>
      </w:r>
      <w:r w:rsidRPr="00235450">
        <w:rPr>
          <w:szCs w:val="17"/>
        </w:rPr>
        <w:t xml:space="preserve"> been issued </w:t>
      </w:r>
      <w:r w:rsidR="005450BE" w:rsidRPr="00235450">
        <w:rPr>
          <w:szCs w:val="17"/>
        </w:rPr>
        <w:t xml:space="preserve">yet. In such case the applicant will be informed that </w:t>
      </w:r>
      <w:r w:rsidRPr="00235450">
        <w:rPr>
          <w:szCs w:val="17"/>
        </w:rPr>
        <w:t>admission will only become definitive when a certified copy</w:t>
      </w:r>
      <w:r w:rsidR="003C465E" w:rsidRPr="00235450">
        <w:rPr>
          <w:szCs w:val="17"/>
        </w:rPr>
        <w:t xml:space="preserve"> of the degree certificate</w:t>
      </w:r>
      <w:r w:rsidRPr="00235450">
        <w:rPr>
          <w:szCs w:val="17"/>
        </w:rPr>
        <w:t xml:space="preserve"> is </w:t>
      </w:r>
      <w:r w:rsidR="005450BE" w:rsidRPr="00235450">
        <w:rPr>
          <w:szCs w:val="17"/>
        </w:rPr>
        <w:t>submitted.</w:t>
      </w:r>
    </w:p>
    <w:p w14:paraId="2A905E57" w14:textId="76AC1961" w:rsidR="00437342" w:rsidRPr="00235450" w:rsidRDefault="00437342" w:rsidP="00437342">
      <w:pPr>
        <w:ind w:left="720" w:hanging="720"/>
        <w:rPr>
          <w:szCs w:val="17"/>
        </w:rPr>
      </w:pPr>
    </w:p>
    <w:p w14:paraId="7F800565" w14:textId="77777777" w:rsidR="00437342" w:rsidRPr="00235450" w:rsidRDefault="00437342" w:rsidP="00437342">
      <w:pPr>
        <w:rPr>
          <w:szCs w:val="17"/>
        </w:rPr>
      </w:pPr>
    </w:p>
    <w:p w14:paraId="6D5BF311" w14:textId="77777777" w:rsidR="00437342" w:rsidRPr="00235450" w:rsidRDefault="00437342" w:rsidP="00437342">
      <w:pPr>
        <w:rPr>
          <w:szCs w:val="17"/>
        </w:rPr>
      </w:pPr>
      <w:r w:rsidRPr="00235450">
        <w:rPr>
          <w:szCs w:val="17"/>
        </w:rPr>
        <w:t>5.</w:t>
      </w:r>
      <w:r w:rsidRPr="00235450">
        <w:rPr>
          <w:szCs w:val="17"/>
        </w:rPr>
        <w:tab/>
        <w:t>Appeal</w:t>
      </w:r>
    </w:p>
    <w:p w14:paraId="7B88CB48" w14:textId="77777777" w:rsidR="00437342" w:rsidRPr="00235450" w:rsidRDefault="00437342" w:rsidP="00437342">
      <w:pPr>
        <w:rPr>
          <w:szCs w:val="17"/>
        </w:rPr>
      </w:pPr>
    </w:p>
    <w:p w14:paraId="49EB8FF4" w14:textId="0D4B9323" w:rsidR="00437342" w:rsidRPr="005F3955" w:rsidRDefault="00437342" w:rsidP="00437342">
      <w:pPr>
        <w:ind w:left="720" w:hanging="720"/>
        <w:rPr>
          <w:szCs w:val="17"/>
        </w:rPr>
      </w:pPr>
      <w:r w:rsidRPr="00235450">
        <w:rPr>
          <w:szCs w:val="17"/>
        </w:rPr>
        <w:t>5.1</w:t>
      </w:r>
      <w:r w:rsidRPr="00235450">
        <w:rPr>
          <w:szCs w:val="17"/>
        </w:rPr>
        <w:tab/>
      </w:r>
      <w:r w:rsidR="005450BE" w:rsidRPr="00235450">
        <w:rPr>
          <w:szCs w:val="17"/>
        </w:rPr>
        <w:t>The a</w:t>
      </w:r>
      <w:r w:rsidRPr="00235450">
        <w:rPr>
          <w:szCs w:val="17"/>
        </w:rPr>
        <w:t>pplicant who do</w:t>
      </w:r>
      <w:r w:rsidR="005450BE" w:rsidRPr="00235450">
        <w:rPr>
          <w:szCs w:val="17"/>
        </w:rPr>
        <w:t>es</w:t>
      </w:r>
      <w:r w:rsidRPr="00235450">
        <w:rPr>
          <w:szCs w:val="17"/>
        </w:rPr>
        <w:t xml:space="preserve"> not agree with decisions </w:t>
      </w:r>
      <w:r w:rsidR="00C94652" w:rsidRPr="00235450">
        <w:rPr>
          <w:szCs w:val="17"/>
        </w:rPr>
        <w:t xml:space="preserve">taken </w:t>
      </w:r>
      <w:r w:rsidRPr="00235450">
        <w:rPr>
          <w:szCs w:val="17"/>
        </w:rPr>
        <w:t>based on th</w:t>
      </w:r>
      <w:r w:rsidR="005450BE" w:rsidRPr="00235450">
        <w:rPr>
          <w:szCs w:val="17"/>
        </w:rPr>
        <w:t>e</w:t>
      </w:r>
      <w:r w:rsidRPr="00235450">
        <w:rPr>
          <w:szCs w:val="17"/>
        </w:rPr>
        <w:t>s</w:t>
      </w:r>
      <w:r w:rsidR="005450BE" w:rsidRPr="00235450">
        <w:rPr>
          <w:szCs w:val="17"/>
        </w:rPr>
        <w:t>e</w:t>
      </w:r>
      <w:r w:rsidRPr="00235450">
        <w:rPr>
          <w:szCs w:val="17"/>
        </w:rPr>
        <w:t xml:space="preserve"> regulation</w:t>
      </w:r>
      <w:r w:rsidR="005450BE" w:rsidRPr="00235450">
        <w:rPr>
          <w:szCs w:val="17"/>
        </w:rPr>
        <w:t>s</w:t>
      </w:r>
      <w:r w:rsidRPr="00235450">
        <w:rPr>
          <w:szCs w:val="17"/>
        </w:rPr>
        <w:t xml:space="preserve"> </w:t>
      </w:r>
      <w:r w:rsidR="005450BE" w:rsidRPr="00235450">
        <w:rPr>
          <w:szCs w:val="17"/>
        </w:rPr>
        <w:t xml:space="preserve"> </w:t>
      </w:r>
      <w:r w:rsidRPr="00235450">
        <w:rPr>
          <w:szCs w:val="17"/>
        </w:rPr>
        <w:t>can appeal within six weeks after receipt of the decision. The appeal must be</w:t>
      </w:r>
      <w:r w:rsidR="00C94652" w:rsidRPr="00235450">
        <w:rPr>
          <w:szCs w:val="17"/>
        </w:rPr>
        <w:t xml:space="preserve"> </w:t>
      </w:r>
      <w:r w:rsidRPr="00235450">
        <w:rPr>
          <w:szCs w:val="17"/>
        </w:rPr>
        <w:t xml:space="preserve">in writing </w:t>
      </w:r>
      <w:r w:rsidR="005450BE" w:rsidRPr="00235450">
        <w:rPr>
          <w:szCs w:val="17"/>
        </w:rPr>
        <w:t>and directed at</w:t>
      </w:r>
      <w:r w:rsidRPr="00235450">
        <w:rPr>
          <w:szCs w:val="17"/>
        </w:rPr>
        <w:t xml:space="preserve"> the </w:t>
      </w:r>
      <w:r w:rsidR="00C1504E" w:rsidRPr="00235450">
        <w:rPr>
          <w:szCs w:val="17"/>
        </w:rPr>
        <w:t>Examination Appeal</w:t>
      </w:r>
      <w:r w:rsidR="00DE6EFC" w:rsidRPr="00235450">
        <w:rPr>
          <w:szCs w:val="17"/>
        </w:rPr>
        <w:t>s</w:t>
      </w:r>
      <w:r w:rsidR="00C1504E" w:rsidRPr="00235450">
        <w:rPr>
          <w:szCs w:val="17"/>
        </w:rPr>
        <w:t xml:space="preserve"> Board</w:t>
      </w:r>
      <w:r w:rsidR="00957C0E" w:rsidRPr="00235450">
        <w:rPr>
          <w:szCs w:val="17"/>
        </w:rPr>
        <w:t xml:space="preserve"> of Wageningen University</w:t>
      </w:r>
      <w:r w:rsidRPr="00235450">
        <w:rPr>
          <w:szCs w:val="17"/>
        </w:rPr>
        <w:t xml:space="preserve">. The appeal </w:t>
      </w:r>
      <w:r w:rsidR="00C94652" w:rsidRPr="00235450">
        <w:rPr>
          <w:szCs w:val="17"/>
        </w:rPr>
        <w:t>must be</w:t>
      </w:r>
      <w:r w:rsidRPr="00235450">
        <w:rPr>
          <w:szCs w:val="17"/>
        </w:rPr>
        <w:t xml:space="preserve"> sent to the </w:t>
      </w:r>
      <w:r w:rsidR="00AE7F70" w:rsidRPr="00235450">
        <w:rPr>
          <w:szCs w:val="17"/>
        </w:rPr>
        <w:t xml:space="preserve">Student Legal Protection Desk of Wageningen University </w:t>
      </w:r>
      <w:r w:rsidRPr="00235450">
        <w:rPr>
          <w:szCs w:val="17"/>
        </w:rPr>
        <w:t>(</w:t>
      </w:r>
      <w:r w:rsidR="00071981" w:rsidRPr="00235450">
        <w:rPr>
          <w:szCs w:val="17"/>
        </w:rPr>
        <w:t>legalprotection</w:t>
      </w:r>
      <w:r w:rsidR="00AE7F70" w:rsidRPr="00235450">
        <w:rPr>
          <w:szCs w:val="17"/>
        </w:rPr>
        <w:t>.</w:t>
      </w:r>
      <w:r w:rsidR="00071981" w:rsidRPr="00235450">
        <w:rPr>
          <w:szCs w:val="17"/>
        </w:rPr>
        <w:t>students</w:t>
      </w:r>
      <w:r w:rsidRPr="00235450">
        <w:rPr>
          <w:szCs w:val="17"/>
        </w:rPr>
        <w:t>@wur.nl).</w:t>
      </w:r>
    </w:p>
    <w:p w14:paraId="7407985B" w14:textId="4A2E70D4" w:rsidR="00437342" w:rsidRPr="00A76F3A" w:rsidRDefault="00437342" w:rsidP="00B1177B">
      <w:pPr>
        <w:ind w:left="720" w:hanging="720"/>
      </w:pPr>
    </w:p>
    <w:p w14:paraId="626CC621" w14:textId="1DF14C46" w:rsidR="00B1415E" w:rsidRDefault="00B1415E">
      <w:pPr>
        <w:spacing w:after="200" w:line="276" w:lineRule="auto"/>
      </w:pPr>
      <w:r>
        <w:br w:type="page"/>
      </w:r>
    </w:p>
    <w:p w14:paraId="0FEE0635" w14:textId="77777777" w:rsidR="00B1415E" w:rsidRPr="00B1415E" w:rsidRDefault="00B1415E" w:rsidP="00B1415E">
      <w:pPr>
        <w:pStyle w:val="Kop1"/>
        <w:rPr>
          <w:rFonts w:eastAsia="Calibri"/>
          <w:i/>
          <w:iCs/>
          <w:sz w:val="28"/>
        </w:rPr>
      </w:pPr>
      <w:bookmarkStart w:id="40" w:name="_Toc54257565"/>
      <w:bookmarkStart w:id="41" w:name="_Hlk54257299"/>
      <w:r w:rsidRPr="00B1415E">
        <w:rPr>
          <w:rFonts w:eastAsia="Calibri"/>
          <w:sz w:val="28"/>
        </w:rPr>
        <w:lastRenderedPageBreak/>
        <w:t>Addendum Education and Examination Regulations Master Water Technology (joint degree) 2020-2021</w:t>
      </w:r>
      <w:bookmarkEnd w:id="40"/>
      <w:r w:rsidRPr="00B1415E">
        <w:rPr>
          <w:rFonts w:eastAsia="Calibri"/>
          <w:sz w:val="28"/>
        </w:rPr>
        <w:t xml:space="preserve"> </w:t>
      </w:r>
    </w:p>
    <w:bookmarkEnd w:id="41"/>
    <w:p w14:paraId="3970EC0E" w14:textId="77777777" w:rsidR="00B1415E" w:rsidRPr="00B1415E" w:rsidRDefault="00B1415E" w:rsidP="00B1415E">
      <w:pPr>
        <w:rPr>
          <w:rFonts w:eastAsia="Calibri" w:cs="Times New Roman"/>
          <w:b/>
          <w:bCs/>
          <w:sz w:val="24"/>
          <w:szCs w:val="24"/>
        </w:rPr>
      </w:pPr>
    </w:p>
    <w:p w14:paraId="3C1CB5E5" w14:textId="77777777" w:rsidR="00B1415E" w:rsidRPr="00B1415E" w:rsidRDefault="00B1415E" w:rsidP="00B1415E">
      <w:pPr>
        <w:spacing w:after="160" w:line="302" w:lineRule="auto"/>
        <w:rPr>
          <w:rFonts w:eastAsia="Calibri" w:cs="Times New Roman"/>
          <w:b/>
          <w:bCs/>
        </w:rPr>
      </w:pPr>
      <w:r w:rsidRPr="00B1415E">
        <w:rPr>
          <w:rFonts w:eastAsia="Calibri" w:cs="Times New Roman"/>
          <w:lang w:bidi="en-GB"/>
        </w:rPr>
        <w:t xml:space="preserve">In order to take the required measures related to the COVID-19 pandemic, it is necessary to make some temporary changes to the </w:t>
      </w:r>
      <w:r w:rsidRPr="00B1415E">
        <w:rPr>
          <w:rFonts w:eastAsia="Calibri" w:cs="Times New Roman"/>
        </w:rPr>
        <w:t>Education and Examination Regulations Master Water Technology (joint degree) 2020-2021 (EER).</w:t>
      </w:r>
    </w:p>
    <w:p w14:paraId="347ADFBE" w14:textId="77777777" w:rsidR="00B1415E" w:rsidRPr="00B1415E" w:rsidRDefault="00B1415E" w:rsidP="00B1415E">
      <w:pPr>
        <w:rPr>
          <w:rFonts w:eastAsia="Calibri" w:cs="Times New Roman"/>
          <w:b/>
          <w:bCs/>
        </w:rPr>
      </w:pPr>
      <w:bookmarkStart w:id="42" w:name="_Hlk44622215"/>
      <w:r w:rsidRPr="00B1415E">
        <w:rPr>
          <w:rFonts w:eastAsia="Calibri" w:cs="Times New Roman"/>
          <w:b/>
          <w:lang w:bidi="en-GB"/>
        </w:rPr>
        <w:t xml:space="preserve">Article 1 </w:t>
      </w:r>
      <w:r w:rsidRPr="00B1415E">
        <w:rPr>
          <w:rFonts w:eastAsia="Calibri" w:cs="Times New Roman"/>
          <w:b/>
          <w:lang w:bidi="en-GB"/>
        </w:rPr>
        <w:tab/>
        <w:t>Temporary priority course guide on the Study Handbook due to COVID-19</w:t>
      </w:r>
    </w:p>
    <w:p w14:paraId="68E655C9" w14:textId="77777777" w:rsidR="00B1415E" w:rsidRPr="00B1415E" w:rsidRDefault="00B1415E" w:rsidP="00B1415E">
      <w:pPr>
        <w:contextualSpacing/>
        <w:rPr>
          <w:rFonts w:eastAsia="Calibri" w:cs="Times New Roman"/>
        </w:rPr>
      </w:pPr>
      <w:r w:rsidRPr="00B1415E">
        <w:rPr>
          <w:rFonts w:eastAsia="Calibri" w:cs="Times New Roman"/>
          <w:lang w:bidi="en-GB"/>
        </w:rPr>
        <w:t xml:space="preserve">By way of derogation from what is stated on page 1 of the EER and in article 2d, the course guide shall prevail if there is inconsistency between the course guide and the Study Handbook. </w:t>
      </w:r>
    </w:p>
    <w:p w14:paraId="6775F116" w14:textId="77777777" w:rsidR="00B1415E" w:rsidRPr="00B1415E" w:rsidRDefault="00B1415E" w:rsidP="00B1415E">
      <w:pPr>
        <w:rPr>
          <w:rFonts w:eastAsia="Calibri" w:cs="Times New Roman"/>
        </w:rPr>
      </w:pPr>
    </w:p>
    <w:p w14:paraId="32AEB681" w14:textId="77777777" w:rsidR="00B1415E" w:rsidRPr="00B1415E" w:rsidRDefault="00B1415E" w:rsidP="00B1415E">
      <w:pPr>
        <w:ind w:left="1440" w:hanging="1440"/>
        <w:rPr>
          <w:rFonts w:eastAsia="Calibri" w:cs="Times New Roman"/>
          <w:b/>
          <w:bCs/>
        </w:rPr>
      </w:pPr>
      <w:r w:rsidRPr="00B1415E">
        <w:rPr>
          <w:rFonts w:eastAsia="Calibri" w:cs="Times New Roman"/>
          <w:b/>
          <w:lang w:bidi="en-GB"/>
        </w:rPr>
        <w:t>Article 2</w:t>
      </w:r>
      <w:r w:rsidRPr="00B1415E">
        <w:rPr>
          <w:rFonts w:eastAsia="Calibri" w:cs="Times New Roman"/>
          <w:b/>
          <w:lang w:bidi="en-GB"/>
        </w:rPr>
        <w:tab/>
        <w:t>Temporary deviation from mandatory participation in methods of instruction due to COVID-19</w:t>
      </w:r>
    </w:p>
    <w:p w14:paraId="739C40B6" w14:textId="77777777" w:rsidR="00B1415E" w:rsidRPr="00B1415E" w:rsidRDefault="00B1415E" w:rsidP="00B1415E">
      <w:pPr>
        <w:rPr>
          <w:rFonts w:eastAsia="Calibri" w:cs="Times New Roman"/>
        </w:rPr>
      </w:pPr>
      <w:r w:rsidRPr="00B1415E">
        <w:rPr>
          <w:rFonts w:eastAsia="Calibri" w:cs="Times New Roman"/>
          <w:lang w:bidi="en-GB"/>
        </w:rPr>
        <w:t>By way of derogation from Article 17, in the case of distance learning (online), compulsory active participation may be described in the Study Handbook or in the course guide.</w:t>
      </w:r>
    </w:p>
    <w:bookmarkEnd w:id="42"/>
    <w:p w14:paraId="4C6B7BC1" w14:textId="77777777" w:rsidR="00B1415E" w:rsidRPr="00B1415E" w:rsidRDefault="00B1415E" w:rsidP="00B1415E">
      <w:pPr>
        <w:rPr>
          <w:rFonts w:eastAsia="Calibri" w:cs="Times New Roman"/>
        </w:rPr>
      </w:pPr>
    </w:p>
    <w:p w14:paraId="52777BD8" w14:textId="77777777" w:rsidR="00B1415E" w:rsidRPr="00B1415E" w:rsidRDefault="00B1415E" w:rsidP="00B1415E">
      <w:pPr>
        <w:ind w:left="1440" w:hanging="1440"/>
        <w:rPr>
          <w:rFonts w:eastAsia="Calibri" w:cs="Times New Roman"/>
          <w:b/>
          <w:bCs/>
        </w:rPr>
      </w:pPr>
      <w:bookmarkStart w:id="43" w:name="_Hlk44620827"/>
      <w:bookmarkStart w:id="44" w:name="_Hlk44404082"/>
      <w:r w:rsidRPr="00B1415E">
        <w:rPr>
          <w:rFonts w:eastAsia="Calibri" w:cs="Times New Roman"/>
          <w:b/>
          <w:lang w:bidi="en-GB"/>
        </w:rPr>
        <w:t>Article 3</w:t>
      </w:r>
      <w:r w:rsidRPr="00B1415E">
        <w:rPr>
          <w:rFonts w:eastAsia="Calibri" w:cs="Times New Roman"/>
          <w:b/>
          <w:lang w:bidi="en-GB"/>
        </w:rPr>
        <w:tab/>
        <w:t>Temporary deviation from the scheduling of review and discussion due to COVID-19</w:t>
      </w:r>
    </w:p>
    <w:p w14:paraId="4CD6FA6A" w14:textId="77777777" w:rsidR="00B1415E" w:rsidRPr="00B1415E" w:rsidRDefault="00B1415E" w:rsidP="00B1415E">
      <w:pPr>
        <w:rPr>
          <w:rFonts w:eastAsia="Calibri" w:cs="Times New Roman"/>
        </w:rPr>
      </w:pPr>
      <w:r w:rsidRPr="00B1415E">
        <w:rPr>
          <w:rFonts w:eastAsia="Calibri" w:cs="Times New Roman"/>
          <w:lang w:bidi="en-GB"/>
        </w:rPr>
        <w:t xml:space="preserve">By way of derogation Article 31 b and c, the examiner may organise the review and discussion online. Students are not allowed to make recordings or reproduce documents during or after the review or discussion. </w:t>
      </w:r>
    </w:p>
    <w:bookmarkEnd w:id="43"/>
    <w:p w14:paraId="6E519264" w14:textId="77777777" w:rsidR="00B1415E" w:rsidRPr="00B1415E" w:rsidRDefault="00B1415E" w:rsidP="00B1415E">
      <w:pPr>
        <w:rPr>
          <w:rFonts w:eastAsia="Calibri" w:cs="Times New Roman"/>
        </w:rPr>
      </w:pPr>
    </w:p>
    <w:bookmarkEnd w:id="44"/>
    <w:p w14:paraId="4A69F705" w14:textId="77777777" w:rsidR="00B1415E" w:rsidRPr="00B1415E" w:rsidRDefault="00B1415E" w:rsidP="00B1415E">
      <w:pPr>
        <w:spacing w:after="160" w:line="302" w:lineRule="auto"/>
        <w:rPr>
          <w:rFonts w:eastAsia="Calibri" w:cs="Times New Roman"/>
          <w:lang w:bidi="en-GB"/>
        </w:rPr>
      </w:pPr>
      <w:r w:rsidRPr="00B1415E">
        <w:rPr>
          <w:rFonts w:eastAsia="Calibri" w:cs="Times New Roman"/>
          <w:b/>
          <w:lang w:bidi="en-GB"/>
        </w:rPr>
        <w:t>Article 4</w:t>
      </w:r>
      <w:r w:rsidRPr="00B1415E">
        <w:rPr>
          <w:rFonts w:eastAsia="Calibri" w:cs="Times New Roman"/>
          <w:b/>
          <w:lang w:bidi="en-GB"/>
        </w:rPr>
        <w:tab/>
        <w:t xml:space="preserve">Hardship clause </w:t>
      </w:r>
    </w:p>
    <w:p w14:paraId="5E365BD9" w14:textId="77777777" w:rsidR="00B1415E" w:rsidRPr="00B1415E" w:rsidRDefault="00B1415E" w:rsidP="00B1415E">
      <w:pPr>
        <w:rPr>
          <w:rFonts w:eastAsia="Calibri" w:cs="Times New Roman"/>
        </w:rPr>
      </w:pPr>
      <w:r w:rsidRPr="00B1415E">
        <w:rPr>
          <w:rFonts w:eastAsia="Calibri" w:cs="Times New Roman"/>
          <w:lang w:bidi="en-GB"/>
        </w:rPr>
        <w:t xml:space="preserve">Within the limits of the law, the Executive Board may, in very exceptional cases, exclude the provisions of the EER or deviate from them in favour of the student in so far as its application, will result in a considerable lack of fairness. </w:t>
      </w:r>
    </w:p>
    <w:p w14:paraId="666E7649" w14:textId="77777777" w:rsidR="00B1415E" w:rsidRPr="00B1415E" w:rsidRDefault="00B1415E" w:rsidP="00B1415E">
      <w:pPr>
        <w:rPr>
          <w:rFonts w:eastAsia="Calibri" w:cs="Times New Roman"/>
        </w:rPr>
      </w:pPr>
    </w:p>
    <w:p w14:paraId="36BCC249" w14:textId="77777777" w:rsidR="00B1415E" w:rsidRPr="00B1415E" w:rsidRDefault="00B1415E" w:rsidP="00B1415E">
      <w:pPr>
        <w:rPr>
          <w:rFonts w:eastAsia="Calibri" w:cs="Times New Roman"/>
          <w:b/>
          <w:bCs/>
        </w:rPr>
      </w:pPr>
      <w:bookmarkStart w:id="45" w:name="_Hlk44621579"/>
      <w:r w:rsidRPr="00B1415E">
        <w:rPr>
          <w:rFonts w:eastAsia="Calibri" w:cs="Times New Roman"/>
          <w:b/>
          <w:lang w:bidi="en-GB"/>
        </w:rPr>
        <w:t xml:space="preserve">Article 5 </w:t>
      </w:r>
      <w:r w:rsidRPr="00B1415E">
        <w:rPr>
          <w:rFonts w:eastAsia="Calibri" w:cs="Times New Roman"/>
          <w:b/>
          <w:lang w:bidi="en-GB"/>
        </w:rPr>
        <w:tab/>
        <w:t>Effective date</w:t>
      </w:r>
    </w:p>
    <w:p w14:paraId="0276365A" w14:textId="77777777" w:rsidR="00B1415E" w:rsidRPr="00B1415E" w:rsidRDefault="00B1415E" w:rsidP="00B1415E">
      <w:pPr>
        <w:numPr>
          <w:ilvl w:val="0"/>
          <w:numId w:val="39"/>
        </w:numPr>
        <w:spacing w:after="160" w:line="302" w:lineRule="auto"/>
        <w:contextualSpacing/>
        <w:rPr>
          <w:rFonts w:eastAsia="Calibri" w:cs="Times New Roman"/>
        </w:rPr>
      </w:pPr>
      <w:r w:rsidRPr="00B1415E">
        <w:rPr>
          <w:rFonts w:eastAsia="Calibri" w:cs="Times New Roman"/>
          <w:lang w:bidi="en-GB"/>
        </w:rPr>
        <w:t>These Regulations enter into force on 1 September 2020.</w:t>
      </w:r>
    </w:p>
    <w:p w14:paraId="0C0FC748" w14:textId="77777777" w:rsidR="00B1415E" w:rsidRPr="00B1415E" w:rsidRDefault="00B1415E" w:rsidP="00B1415E">
      <w:pPr>
        <w:numPr>
          <w:ilvl w:val="0"/>
          <w:numId w:val="39"/>
        </w:numPr>
        <w:spacing w:after="160" w:line="302" w:lineRule="auto"/>
        <w:contextualSpacing/>
        <w:rPr>
          <w:rFonts w:eastAsia="Calibri" w:cs="Times New Roman"/>
        </w:rPr>
      </w:pPr>
      <w:r w:rsidRPr="00B1415E">
        <w:rPr>
          <w:rFonts w:eastAsia="Calibri" w:cs="Times New Roman"/>
          <w:lang w:bidi="en-GB"/>
        </w:rPr>
        <w:t>Following the recommendation of the Board of Education, these regulations have been adopted by the Executive Board with the consent of the Student Council and with the advice of the Programme Committees.</w:t>
      </w:r>
    </w:p>
    <w:p w14:paraId="545CCB8E" w14:textId="77777777" w:rsidR="00B1415E" w:rsidRPr="00B1415E" w:rsidRDefault="00B1415E" w:rsidP="00B1415E">
      <w:pPr>
        <w:numPr>
          <w:ilvl w:val="0"/>
          <w:numId w:val="39"/>
        </w:numPr>
        <w:spacing w:after="160" w:line="302" w:lineRule="auto"/>
        <w:contextualSpacing/>
        <w:rPr>
          <w:rFonts w:eastAsia="Calibri" w:cs="Times New Roman"/>
        </w:rPr>
      </w:pPr>
      <w:r w:rsidRPr="00B1415E">
        <w:rPr>
          <w:rFonts w:eastAsia="Calibri" w:cs="Times New Roman"/>
          <w:lang w:bidi="en-GB"/>
        </w:rPr>
        <w:t>These regulations will expire on 31 August 2021.</w:t>
      </w:r>
      <w:bookmarkEnd w:id="45"/>
    </w:p>
    <w:p w14:paraId="06F9F27A" w14:textId="77777777" w:rsidR="00B1415E" w:rsidRPr="00B1415E" w:rsidRDefault="00B1415E" w:rsidP="00B1415E">
      <w:pPr>
        <w:spacing w:after="160" w:line="302" w:lineRule="auto"/>
        <w:rPr>
          <w:rFonts w:eastAsia="Calibri" w:cs="Times New Roman"/>
        </w:rPr>
      </w:pPr>
      <w:r w:rsidRPr="00B1415E">
        <w:rPr>
          <w:rFonts w:eastAsia="Calibri" w:cs="Times New Roman"/>
        </w:rPr>
        <w:br w:type="page"/>
      </w:r>
    </w:p>
    <w:p w14:paraId="3DD7EC17" w14:textId="77777777" w:rsidR="00B1415E" w:rsidRPr="00B1415E" w:rsidRDefault="00B1415E" w:rsidP="00B1415E">
      <w:pPr>
        <w:spacing w:after="160" w:line="302" w:lineRule="auto"/>
        <w:rPr>
          <w:rFonts w:eastAsia="Calibri" w:cs="Times New Roman"/>
          <w:b/>
          <w:sz w:val="24"/>
          <w:szCs w:val="24"/>
        </w:rPr>
      </w:pPr>
      <w:bookmarkStart w:id="46" w:name="_Hlk44622435"/>
      <w:bookmarkStart w:id="47" w:name="_Hlk44596484"/>
      <w:r w:rsidRPr="00B1415E">
        <w:rPr>
          <w:rFonts w:eastAsia="Calibri" w:cs="Times New Roman"/>
          <w:b/>
          <w:sz w:val="24"/>
          <w:szCs w:val="24"/>
          <w:lang w:bidi="en-GB"/>
        </w:rPr>
        <w:lastRenderedPageBreak/>
        <w:t>Information</w:t>
      </w:r>
    </w:p>
    <w:p w14:paraId="1F8909EC" w14:textId="77777777" w:rsidR="00B1415E" w:rsidRPr="00B1415E" w:rsidRDefault="00B1415E" w:rsidP="00B1415E">
      <w:pPr>
        <w:rPr>
          <w:rFonts w:eastAsia="Calibri" w:cs="Times New Roman"/>
          <w:b/>
          <w:bCs/>
        </w:rPr>
      </w:pPr>
      <w:r w:rsidRPr="00B1415E">
        <w:rPr>
          <w:rFonts w:eastAsia="Calibri" w:cs="Times New Roman"/>
          <w:b/>
          <w:lang w:bidi="en-GB"/>
        </w:rPr>
        <w:t xml:space="preserve">Article 1 </w:t>
      </w:r>
      <w:r w:rsidRPr="00B1415E">
        <w:rPr>
          <w:rFonts w:eastAsia="Calibri" w:cs="Times New Roman"/>
          <w:b/>
          <w:lang w:bidi="en-GB"/>
        </w:rPr>
        <w:tab/>
        <w:t>Temporary priority course guide on the Study Handbook due to COVID-19</w:t>
      </w:r>
    </w:p>
    <w:p w14:paraId="674E54DC" w14:textId="77777777" w:rsidR="00B1415E" w:rsidRPr="00B1415E" w:rsidRDefault="00B1415E" w:rsidP="00B1415E">
      <w:pPr>
        <w:rPr>
          <w:rFonts w:eastAsia="Calibri" w:cs="Times New Roman"/>
          <w:b/>
          <w:bCs/>
        </w:rPr>
      </w:pPr>
    </w:p>
    <w:p w14:paraId="431A699E" w14:textId="77777777" w:rsidR="00B1415E" w:rsidRPr="00B1415E" w:rsidRDefault="00B1415E" w:rsidP="00B1415E">
      <w:pPr>
        <w:rPr>
          <w:rFonts w:eastAsia="Calibri" w:cs="Times New Roman"/>
        </w:rPr>
      </w:pPr>
      <w:r w:rsidRPr="00B1415E">
        <w:rPr>
          <w:rFonts w:eastAsia="Calibri" w:cs="Times New Roman"/>
          <w:lang w:bidi="en-GB"/>
        </w:rPr>
        <w:t xml:space="preserve">If the education format has to be adapted as a result of the coronavirus measures, the most up-to-date information can be found in the course guide. In this case, the course guide deviates from the information in the Study Handbook. Therefore in the case of inconsistency between the course and the Study Handbook, the course guide shall prevail.  </w:t>
      </w:r>
    </w:p>
    <w:bookmarkEnd w:id="46"/>
    <w:p w14:paraId="6752A93D" w14:textId="77777777" w:rsidR="00B1415E" w:rsidRPr="00B1415E" w:rsidRDefault="00B1415E" w:rsidP="00B1415E">
      <w:pPr>
        <w:rPr>
          <w:rFonts w:eastAsia="Calibri" w:cs="Times New Roman"/>
        </w:rPr>
      </w:pPr>
    </w:p>
    <w:p w14:paraId="69337701" w14:textId="77777777" w:rsidR="00B1415E" w:rsidRPr="00B1415E" w:rsidRDefault="00B1415E" w:rsidP="00B1415E">
      <w:pPr>
        <w:rPr>
          <w:rFonts w:eastAsia="Calibri" w:cs="Times New Roman"/>
          <w:b/>
          <w:bCs/>
        </w:rPr>
      </w:pPr>
      <w:r w:rsidRPr="00B1415E">
        <w:rPr>
          <w:rFonts w:eastAsia="Calibri" w:cs="Times New Roman"/>
          <w:b/>
          <w:lang w:bidi="en-GB"/>
        </w:rPr>
        <w:t>Article 2</w:t>
      </w:r>
      <w:r w:rsidRPr="00B1415E">
        <w:rPr>
          <w:rFonts w:eastAsia="Calibri" w:cs="Times New Roman"/>
          <w:b/>
          <w:lang w:bidi="en-GB"/>
        </w:rPr>
        <w:tab/>
        <w:t>Temporary deviation from mandatory participation in methods of instruction due to COVID-19</w:t>
      </w:r>
    </w:p>
    <w:p w14:paraId="76694624" w14:textId="77777777" w:rsidR="00B1415E" w:rsidRPr="00B1415E" w:rsidRDefault="00B1415E" w:rsidP="00B1415E">
      <w:pPr>
        <w:rPr>
          <w:rFonts w:eastAsia="Calibri" w:cs="Times New Roman"/>
        </w:rPr>
      </w:pPr>
    </w:p>
    <w:p w14:paraId="3FB4B8AE" w14:textId="77777777" w:rsidR="00B1415E" w:rsidRPr="00B1415E" w:rsidRDefault="00B1415E" w:rsidP="00B1415E">
      <w:pPr>
        <w:rPr>
          <w:rFonts w:eastAsia="Calibri" w:cs="Times New Roman"/>
        </w:rPr>
      </w:pPr>
      <w:r w:rsidRPr="00B1415E">
        <w:rPr>
          <w:rFonts w:eastAsia="Calibri" w:cs="Times New Roman"/>
          <w:lang w:bidi="en-GB"/>
        </w:rPr>
        <w:t xml:space="preserve">If education is provided online, active participation may be required instead of compulsory attendance. </w:t>
      </w:r>
    </w:p>
    <w:p w14:paraId="131DD0BE" w14:textId="77777777" w:rsidR="00B1415E" w:rsidRPr="00B1415E" w:rsidRDefault="00B1415E" w:rsidP="00B1415E">
      <w:pPr>
        <w:rPr>
          <w:rFonts w:eastAsia="Calibri" w:cs="Times New Roman"/>
        </w:rPr>
      </w:pPr>
    </w:p>
    <w:p w14:paraId="79DDC137" w14:textId="77777777" w:rsidR="00B1415E" w:rsidRPr="00B1415E" w:rsidRDefault="00B1415E" w:rsidP="00B1415E">
      <w:pPr>
        <w:rPr>
          <w:rFonts w:eastAsia="Calibri" w:cs="Times New Roman"/>
        </w:rPr>
      </w:pPr>
    </w:p>
    <w:p w14:paraId="4B4A6406" w14:textId="77777777" w:rsidR="00B1415E" w:rsidRPr="00B1415E" w:rsidRDefault="00B1415E" w:rsidP="00B1415E">
      <w:pPr>
        <w:rPr>
          <w:rFonts w:eastAsia="Calibri" w:cs="Times New Roman"/>
          <w:b/>
          <w:bCs/>
        </w:rPr>
      </w:pPr>
      <w:r w:rsidRPr="00B1415E">
        <w:rPr>
          <w:rFonts w:eastAsia="Calibri" w:cs="Times New Roman"/>
          <w:b/>
          <w:lang w:bidi="en-GB"/>
        </w:rPr>
        <w:t>Article 3</w:t>
      </w:r>
      <w:r w:rsidRPr="00B1415E">
        <w:rPr>
          <w:rFonts w:eastAsia="Calibri" w:cs="Times New Roman"/>
          <w:b/>
          <w:lang w:bidi="en-GB"/>
        </w:rPr>
        <w:tab/>
        <w:t>Temporary deviation from the scheduling of review and discussion due to COVID-19</w:t>
      </w:r>
    </w:p>
    <w:p w14:paraId="7FEC1C8F" w14:textId="77777777" w:rsidR="00B1415E" w:rsidRPr="00B1415E" w:rsidRDefault="00B1415E" w:rsidP="00B1415E">
      <w:pPr>
        <w:rPr>
          <w:rFonts w:eastAsia="Calibri" w:cs="Times New Roman"/>
        </w:rPr>
      </w:pPr>
    </w:p>
    <w:p w14:paraId="201086BF" w14:textId="77777777" w:rsidR="00B1415E" w:rsidRPr="00B1415E" w:rsidRDefault="00B1415E" w:rsidP="00B1415E">
      <w:pPr>
        <w:rPr>
          <w:rFonts w:eastAsia="Calibri" w:cs="Times New Roman"/>
        </w:rPr>
      </w:pPr>
      <w:r w:rsidRPr="00B1415E">
        <w:rPr>
          <w:rFonts w:eastAsia="Calibri" w:cs="Times New Roman"/>
          <w:lang w:bidi="en-GB"/>
        </w:rPr>
        <w:t>Due to the coronavirus measures, it is not always possible to organise review and discussion on campus. That is why it is also possible for courses not taught online to organise review and discussion online.</w:t>
      </w:r>
    </w:p>
    <w:p w14:paraId="350E1D56" w14:textId="77777777" w:rsidR="00B1415E" w:rsidRPr="00B1415E" w:rsidRDefault="00B1415E" w:rsidP="00B1415E">
      <w:pPr>
        <w:rPr>
          <w:rFonts w:eastAsia="Calibri" w:cs="Times New Roman"/>
        </w:rPr>
      </w:pPr>
    </w:p>
    <w:bookmarkEnd w:id="47"/>
    <w:p w14:paraId="4D07D453" w14:textId="4D8C71F8" w:rsidR="006606D5" w:rsidRDefault="006606D5">
      <w:pPr>
        <w:spacing w:after="200" w:line="276" w:lineRule="auto"/>
      </w:pPr>
      <w:r>
        <w:br w:type="page"/>
      </w:r>
    </w:p>
    <w:p w14:paraId="6E630346" w14:textId="224C34F4" w:rsidR="006606D5" w:rsidRPr="00B1415E" w:rsidRDefault="006606D5" w:rsidP="006606D5">
      <w:pPr>
        <w:pStyle w:val="Kop1"/>
        <w:rPr>
          <w:rFonts w:eastAsia="Calibri"/>
          <w:i/>
          <w:iCs/>
          <w:sz w:val="28"/>
        </w:rPr>
      </w:pPr>
      <w:bookmarkStart w:id="48" w:name="_Addendum_2_Education"/>
      <w:bookmarkStart w:id="49" w:name="_Toc54257566"/>
      <w:bookmarkStart w:id="50" w:name="_GoBack"/>
      <w:bookmarkEnd w:id="48"/>
      <w:bookmarkEnd w:id="50"/>
      <w:r w:rsidRPr="00B1415E">
        <w:rPr>
          <w:rFonts w:eastAsia="Calibri"/>
          <w:sz w:val="28"/>
        </w:rPr>
        <w:lastRenderedPageBreak/>
        <w:t xml:space="preserve">Addendum </w:t>
      </w:r>
      <w:r>
        <w:rPr>
          <w:rFonts w:eastAsia="Calibri"/>
          <w:sz w:val="28"/>
        </w:rPr>
        <w:t xml:space="preserve">2 </w:t>
      </w:r>
      <w:r w:rsidRPr="00B1415E">
        <w:rPr>
          <w:rFonts w:eastAsia="Calibri"/>
          <w:sz w:val="28"/>
        </w:rPr>
        <w:t>Education and Examination Regulations Master Water Technology (joint degree) 2020-2021</w:t>
      </w:r>
      <w:bookmarkEnd w:id="49"/>
      <w:r w:rsidRPr="00B1415E">
        <w:rPr>
          <w:rFonts w:eastAsia="Calibri"/>
          <w:sz w:val="28"/>
        </w:rPr>
        <w:t xml:space="preserve"> </w:t>
      </w:r>
    </w:p>
    <w:p w14:paraId="38FD5622" w14:textId="77777777" w:rsidR="006606D5" w:rsidRPr="006110DA" w:rsidRDefault="006606D5" w:rsidP="006606D5">
      <w:pPr>
        <w:rPr>
          <w:b/>
          <w:bCs/>
          <w:lang w:val="en-US"/>
        </w:rPr>
      </w:pPr>
      <w:r w:rsidRPr="006110DA">
        <w:rPr>
          <w:b/>
          <w:bCs/>
          <w:lang w:val="en-US"/>
        </w:rPr>
        <w:t>Article 1</w:t>
      </w:r>
      <w:r w:rsidRPr="006110DA">
        <w:rPr>
          <w:b/>
          <w:bCs/>
          <w:lang w:val="en-US"/>
        </w:rPr>
        <w:tab/>
        <w:t>Amendment of article</w:t>
      </w:r>
      <w:r>
        <w:rPr>
          <w:rFonts w:eastAsia="Calibri"/>
          <w:b/>
          <w:bCs/>
          <w:lang w:val="en-US"/>
        </w:rPr>
        <w:t xml:space="preserve"> 13</w:t>
      </w:r>
    </w:p>
    <w:p w14:paraId="69DE1F7B" w14:textId="1B74D0A2" w:rsidR="006606D5" w:rsidRPr="006110DA" w:rsidRDefault="006606D5" w:rsidP="006606D5">
      <w:pPr>
        <w:rPr>
          <w:lang w:val="en-US"/>
        </w:rPr>
      </w:pPr>
      <w:r w:rsidRPr="006110DA">
        <w:rPr>
          <w:lang w:val="en-US"/>
        </w:rPr>
        <w:t>As a result of the introduction of the student information system Osiris, article</w:t>
      </w:r>
      <w:r>
        <w:rPr>
          <w:rFonts w:eastAsia="Calibri"/>
          <w:lang w:val="en-US"/>
        </w:rPr>
        <w:t xml:space="preserve"> 10 of</w:t>
      </w:r>
      <w:r w:rsidRPr="006110DA">
        <w:rPr>
          <w:lang w:val="en-US"/>
        </w:rPr>
        <w:t xml:space="preserve"> the Education and Examination Regulations </w:t>
      </w:r>
      <w:r>
        <w:rPr>
          <w:rFonts w:eastAsia="Calibri"/>
          <w:lang w:val="en-US"/>
        </w:rPr>
        <w:t xml:space="preserve">MWT </w:t>
      </w:r>
      <w:r w:rsidRPr="006110DA">
        <w:rPr>
          <w:lang w:val="en-US"/>
        </w:rPr>
        <w:t>ha</w:t>
      </w:r>
      <w:r>
        <w:rPr>
          <w:rFonts w:eastAsia="Calibri"/>
          <w:lang w:val="en-US"/>
        </w:rPr>
        <w:t>s</w:t>
      </w:r>
      <w:r w:rsidRPr="006110DA">
        <w:rPr>
          <w:lang w:val="en-US"/>
        </w:rPr>
        <w:t xml:space="preserve"> been amended as of 1 December 2020 to read as follows:</w:t>
      </w:r>
    </w:p>
    <w:p w14:paraId="096A9651" w14:textId="77777777" w:rsidR="006606D5" w:rsidRPr="006110DA" w:rsidRDefault="006606D5" w:rsidP="006606D5">
      <w:pPr>
        <w:rPr>
          <w:lang w:val="en-US"/>
        </w:rPr>
      </w:pPr>
    </w:p>
    <w:p w14:paraId="591552BA" w14:textId="1D9109EF" w:rsidR="006606D5" w:rsidRPr="006110DA" w:rsidRDefault="006606D5" w:rsidP="006606D5">
      <w:pPr>
        <w:keepNext/>
        <w:ind w:left="360"/>
        <w:rPr>
          <w:b/>
          <w:bCs/>
        </w:rPr>
      </w:pPr>
      <w:r w:rsidRPr="006110DA">
        <w:rPr>
          <w:b/>
          <w:bCs/>
        </w:rPr>
        <w:t xml:space="preserve">Article </w:t>
      </w:r>
      <w:r>
        <w:rPr>
          <w:b/>
          <w:bCs/>
        </w:rPr>
        <w:t>10</w:t>
      </w:r>
      <w:r>
        <w:rPr>
          <w:b/>
          <w:bCs/>
        </w:rPr>
        <w:tab/>
      </w:r>
      <w:r w:rsidRPr="006110DA">
        <w:rPr>
          <w:b/>
          <w:bCs/>
        </w:rPr>
        <w:t>Extra courses</w:t>
      </w:r>
    </w:p>
    <w:p w14:paraId="51E5C46E" w14:textId="510D67F6" w:rsidR="006606D5" w:rsidRPr="00F44A74" w:rsidRDefault="006606D5" w:rsidP="006606D5">
      <w:pPr>
        <w:ind w:left="360"/>
      </w:pPr>
      <w:r>
        <w:t>a.</w:t>
      </w:r>
      <w:r>
        <w:tab/>
        <w:t>The student can register for extra courses and interim examinations provided by Wageningen University or by other institutes of higher education, either in the Netherlands or abroad, beside the individual examination programme. These courses do not influence the result of the final examination</w:t>
      </w:r>
      <w:r w:rsidRPr="00F44A74">
        <w:t xml:space="preserve">. Extra courses will not be stated on the diploma supplement. Through the Student Service Centre, the student can obtain a print-out of all completed courses.  </w:t>
      </w:r>
    </w:p>
    <w:p w14:paraId="3B46DC98" w14:textId="76AD824E" w:rsidR="006606D5" w:rsidRDefault="006606D5" w:rsidP="006606D5">
      <w:pPr>
        <w:ind w:left="360"/>
      </w:pPr>
      <w:r w:rsidRPr="00F44A74">
        <w:t>b.</w:t>
      </w:r>
      <w:r w:rsidRPr="00F44A74">
        <w:tab/>
        <w:t>The examining board will decide on a course grade conversion after determination</w:t>
      </w:r>
      <w:r>
        <w:t xml:space="preserve"> of grading standards which are determined in the Rules and Regulations.</w:t>
      </w:r>
    </w:p>
    <w:p w14:paraId="64A1C26A" w14:textId="77777777" w:rsidR="006606D5" w:rsidRDefault="006606D5" w:rsidP="006606D5"/>
    <w:p w14:paraId="2CAC463C" w14:textId="77777777" w:rsidR="006606D5" w:rsidRPr="006110DA" w:rsidRDefault="006606D5" w:rsidP="006606D5">
      <w:pPr>
        <w:rPr>
          <w:rFonts w:eastAsia="Calibri"/>
          <w:b/>
          <w:lang w:bidi="en-GB"/>
        </w:rPr>
      </w:pPr>
      <w:bookmarkStart w:id="51" w:name="_Hlk54255059"/>
      <w:r w:rsidRPr="006110DA">
        <w:rPr>
          <w:rFonts w:eastAsia="Calibri"/>
          <w:b/>
          <w:lang w:bidi="en-GB"/>
        </w:rPr>
        <w:t xml:space="preserve">Article 2 </w:t>
      </w:r>
      <w:r w:rsidRPr="006110DA">
        <w:rPr>
          <w:b/>
          <w:lang w:bidi="en-GB"/>
        </w:rPr>
        <w:tab/>
      </w:r>
      <w:r w:rsidRPr="006110DA">
        <w:rPr>
          <w:rFonts w:eastAsia="Calibri"/>
          <w:b/>
          <w:lang w:bidi="en-GB"/>
        </w:rPr>
        <w:t>Adoption</w:t>
      </w:r>
    </w:p>
    <w:p w14:paraId="680F2A96" w14:textId="59FDC82F" w:rsidR="006606D5" w:rsidRPr="00547881" w:rsidRDefault="006606D5" w:rsidP="006606D5">
      <w:r w:rsidRPr="006110DA">
        <w:rPr>
          <w:bCs/>
          <w:lang w:bidi="en-GB"/>
        </w:rPr>
        <w:t>This regulations have been adopted on</w:t>
      </w:r>
      <w:r w:rsidR="001C2A78">
        <w:rPr>
          <w:bCs/>
          <w:lang w:bidi="en-GB"/>
        </w:rPr>
        <w:t xml:space="preserve"> November 30 2020</w:t>
      </w:r>
      <w:r w:rsidRPr="006110DA">
        <w:rPr>
          <w:bCs/>
          <w:lang w:bidi="en-GB"/>
        </w:rPr>
        <w:t xml:space="preserve"> by the Executive Board, taking into account the advice of the </w:t>
      </w:r>
      <w:r>
        <w:rPr>
          <w:rFonts w:eastAsia="Calibri"/>
          <w:bCs/>
          <w:lang w:bidi="en-GB"/>
        </w:rPr>
        <w:t xml:space="preserve">Programme </w:t>
      </w:r>
      <w:r w:rsidRPr="006110DA">
        <w:rPr>
          <w:bCs/>
          <w:lang w:bidi="en-GB"/>
        </w:rPr>
        <w:t>Board, with approval of the Student Council and with the advice of the programme committees.</w:t>
      </w:r>
      <w:bookmarkEnd w:id="51"/>
    </w:p>
    <w:p w14:paraId="1FFD20E5" w14:textId="77777777" w:rsidR="000F5722" w:rsidRPr="00013725" w:rsidRDefault="000F5722"/>
    <w:sectPr w:rsidR="000F5722" w:rsidRPr="00013725" w:rsidSect="00E805E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E37E" w14:textId="77777777" w:rsidR="00BC4CDF" w:rsidRDefault="00BC4CDF" w:rsidP="00264317">
      <w:pPr>
        <w:spacing w:line="240" w:lineRule="auto"/>
      </w:pPr>
      <w:r>
        <w:separator/>
      </w:r>
    </w:p>
  </w:endnote>
  <w:endnote w:type="continuationSeparator" w:id="0">
    <w:p w14:paraId="36453A1E" w14:textId="77777777" w:rsidR="00BC4CDF" w:rsidRDefault="00BC4CDF" w:rsidP="00264317">
      <w:pPr>
        <w:spacing w:line="240" w:lineRule="auto"/>
      </w:pPr>
      <w:r>
        <w:continuationSeparator/>
      </w:r>
    </w:p>
  </w:endnote>
  <w:endnote w:type="continuationNotice" w:id="1">
    <w:p w14:paraId="7E6E2BF6" w14:textId="77777777" w:rsidR="00BC4CDF" w:rsidRDefault="00BC4C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954152"/>
      <w:docPartObj>
        <w:docPartGallery w:val="Page Numbers (Bottom of Page)"/>
        <w:docPartUnique/>
      </w:docPartObj>
    </w:sdtPr>
    <w:sdtEndPr>
      <w:rPr>
        <w:noProof/>
      </w:rPr>
    </w:sdtEndPr>
    <w:sdtContent>
      <w:p w14:paraId="11B8C516" w14:textId="29A5CBC2" w:rsidR="00BC4CDF" w:rsidRDefault="00BC4CDF" w:rsidP="00DE6EFC">
        <w:pPr>
          <w:pStyle w:val="Voettekst"/>
          <w:jc w:val="center"/>
        </w:pPr>
        <w:r>
          <w:t>Education and Examination Regulations MWT 2020-2021</w:t>
        </w:r>
      </w:p>
      <w:p w14:paraId="7608EC9E" w14:textId="64373A27" w:rsidR="00BC4CDF" w:rsidRDefault="00BC4CDF">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14:paraId="4F6A6E8C" w14:textId="77777777" w:rsidR="00BC4CDF" w:rsidRDefault="00BC4C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0864" w14:textId="77777777" w:rsidR="00BC4CDF" w:rsidRDefault="00BC4CDF" w:rsidP="00264317">
      <w:pPr>
        <w:spacing w:line="240" w:lineRule="auto"/>
      </w:pPr>
      <w:r>
        <w:separator/>
      </w:r>
    </w:p>
  </w:footnote>
  <w:footnote w:type="continuationSeparator" w:id="0">
    <w:p w14:paraId="71AEBC7C" w14:textId="77777777" w:rsidR="00BC4CDF" w:rsidRDefault="00BC4CDF" w:rsidP="00264317">
      <w:pPr>
        <w:spacing w:line="240" w:lineRule="auto"/>
      </w:pPr>
      <w:r>
        <w:continuationSeparator/>
      </w:r>
    </w:p>
  </w:footnote>
  <w:footnote w:type="continuationNotice" w:id="1">
    <w:p w14:paraId="2DA53AAC" w14:textId="77777777" w:rsidR="00BC4CDF" w:rsidRDefault="00BC4CDF">
      <w:pPr>
        <w:spacing w:line="240" w:lineRule="auto"/>
      </w:pPr>
    </w:p>
  </w:footnote>
  <w:footnote w:id="2">
    <w:p w14:paraId="679C662E" w14:textId="77777777" w:rsidR="00BC4CDF" w:rsidRPr="00B81D02" w:rsidRDefault="00BC4CDF">
      <w:pPr>
        <w:pStyle w:val="Voetnoottekst"/>
        <w:rPr>
          <w:sz w:val="16"/>
          <w:szCs w:val="16"/>
        </w:rPr>
      </w:pPr>
      <w:r>
        <w:rPr>
          <w:rStyle w:val="Voetnootmarkering"/>
        </w:rPr>
        <w:footnoteRef/>
      </w:r>
      <w:r>
        <w:t xml:space="preserve"> </w:t>
      </w:r>
      <w:r w:rsidRPr="00B81D02">
        <w:rPr>
          <w:sz w:val="16"/>
          <w:szCs w:val="16"/>
        </w:rPr>
        <w:t xml:space="preserve">Working days: are the weekdays Monday to Friday, with the exception of the national holidays recognised by the CAO of the Dutch Universities and the days between Christmas </w:t>
      </w:r>
      <w:r>
        <w:rPr>
          <w:sz w:val="16"/>
          <w:szCs w:val="16"/>
        </w:rPr>
        <w:t xml:space="preserve">Day </w:t>
      </w:r>
      <w:r w:rsidRPr="00B81D02">
        <w:rPr>
          <w:sz w:val="16"/>
          <w:szCs w:val="16"/>
        </w:rPr>
        <w:t xml:space="preserve">and New Year’s </w:t>
      </w:r>
      <w:r>
        <w:rPr>
          <w:sz w:val="16"/>
          <w:szCs w:val="16"/>
        </w:rPr>
        <w:t>D</w:t>
      </w:r>
      <w:r w:rsidRPr="00B81D02">
        <w:rPr>
          <w:sz w:val="16"/>
          <w:szCs w:val="16"/>
        </w:rPr>
        <w:t>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067"/>
    <w:multiLevelType w:val="hybridMultilevel"/>
    <w:tmpl w:val="B086A468"/>
    <w:lvl w:ilvl="0" w:tplc="CB88C75C">
      <w:start w:val="1"/>
      <w:numFmt w:val="lowerLetter"/>
      <w:lvlText w:val="%1."/>
      <w:lvlJc w:val="left"/>
      <w:pPr>
        <w:ind w:left="1429" w:hanging="360"/>
      </w:pPr>
      <w:rPr>
        <w:rFonts w:ascii="Verdana" w:eastAsiaTheme="minorHAnsi" w:hAnsi="Verdana" w:cstheme="minorBidi"/>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73660BB"/>
    <w:multiLevelType w:val="hybridMultilevel"/>
    <w:tmpl w:val="5BAE79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06EA2"/>
    <w:multiLevelType w:val="hybridMultilevel"/>
    <w:tmpl w:val="010458F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90DDA"/>
    <w:multiLevelType w:val="hybridMultilevel"/>
    <w:tmpl w:val="0DD4BEB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676D5"/>
    <w:multiLevelType w:val="hybridMultilevel"/>
    <w:tmpl w:val="27FE896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A035C"/>
    <w:multiLevelType w:val="hybridMultilevel"/>
    <w:tmpl w:val="363AC0F2"/>
    <w:lvl w:ilvl="0" w:tplc="F92A607E">
      <w:start w:val="1"/>
      <w:numFmt w:val="lowerLetter"/>
      <w:lvlText w:val="%1."/>
      <w:lvlJc w:val="left"/>
      <w:pPr>
        <w:ind w:left="720" w:hanging="360"/>
      </w:pPr>
      <w:rPr>
        <w:rFonts w:ascii="Verdana" w:eastAsiaTheme="minorHAnsi" w:hAnsi="Verdana" w:cstheme="minorBidi"/>
        <w:b w:val="0"/>
      </w:rPr>
    </w:lvl>
    <w:lvl w:ilvl="1" w:tplc="8EE2EC7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0774B"/>
    <w:multiLevelType w:val="hybridMultilevel"/>
    <w:tmpl w:val="7FBA7F36"/>
    <w:lvl w:ilvl="0" w:tplc="C0E8003A">
      <w:start w:val="1"/>
      <w:numFmt w:val="decimal"/>
      <w:lvlText w:val="Chapter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901491"/>
    <w:multiLevelType w:val="hybridMultilevel"/>
    <w:tmpl w:val="2742721C"/>
    <w:lvl w:ilvl="0" w:tplc="CB88C75C">
      <w:start w:val="1"/>
      <w:numFmt w:val="lowerLetter"/>
      <w:lvlText w:val="%1."/>
      <w:lvlJc w:val="left"/>
      <w:pPr>
        <w:ind w:left="720" w:hanging="360"/>
      </w:pPr>
      <w:rPr>
        <w:rFonts w:ascii="Verdana" w:eastAsiaTheme="minorHAnsi" w:hAnsi="Verdana" w:cstheme="minorBidi"/>
        <w:b w:val="0"/>
      </w:rPr>
    </w:lvl>
    <w:lvl w:ilvl="1" w:tplc="19DEBEF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027DA"/>
    <w:multiLevelType w:val="hybridMultilevel"/>
    <w:tmpl w:val="23FCBF9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F7B53"/>
    <w:multiLevelType w:val="hybridMultilevel"/>
    <w:tmpl w:val="7A8A639E"/>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284C2363"/>
    <w:multiLevelType w:val="hybridMultilevel"/>
    <w:tmpl w:val="90440924"/>
    <w:lvl w:ilvl="0" w:tplc="629A126A">
      <w:start w:val="1"/>
      <w:numFmt w:val="lowerLetter"/>
      <w:lvlText w:val="%1."/>
      <w:lvlJc w:val="left"/>
      <w:pPr>
        <w:ind w:left="786"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C146D"/>
    <w:multiLevelType w:val="hybridMultilevel"/>
    <w:tmpl w:val="8EEA1B68"/>
    <w:lvl w:ilvl="0" w:tplc="08090019">
      <w:start w:val="1"/>
      <w:numFmt w:val="lowerLetter"/>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2A0E22BE"/>
    <w:multiLevelType w:val="hybridMultilevel"/>
    <w:tmpl w:val="23D6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451C52"/>
    <w:multiLevelType w:val="hybridMultilevel"/>
    <w:tmpl w:val="3B86CE10"/>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E47224"/>
    <w:multiLevelType w:val="hybridMultilevel"/>
    <w:tmpl w:val="25B2738C"/>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F1EF9"/>
    <w:multiLevelType w:val="hybridMultilevel"/>
    <w:tmpl w:val="CE0C575C"/>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427BD"/>
    <w:multiLevelType w:val="hybridMultilevel"/>
    <w:tmpl w:val="A86485F2"/>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F46A8"/>
    <w:multiLevelType w:val="hybridMultilevel"/>
    <w:tmpl w:val="BAD4D79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254E1"/>
    <w:multiLevelType w:val="hybridMultilevel"/>
    <w:tmpl w:val="D5607E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5231326"/>
    <w:multiLevelType w:val="hybridMultilevel"/>
    <w:tmpl w:val="84A8A39E"/>
    <w:lvl w:ilvl="0" w:tplc="605E63F2">
      <w:start w:val="1"/>
      <w:numFmt w:val="lowerLetter"/>
      <w:lvlText w:val="%1."/>
      <w:lvlJc w:val="left"/>
      <w:pPr>
        <w:ind w:left="717"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5BD2ECD"/>
    <w:multiLevelType w:val="hybridMultilevel"/>
    <w:tmpl w:val="635AEE92"/>
    <w:lvl w:ilvl="0" w:tplc="D83C2A0C">
      <w:start w:val="1"/>
      <w:numFmt w:val="decimal"/>
      <w:pStyle w:val="Artikel"/>
      <w:lvlText w:val="Article %1"/>
      <w:lvlJc w:val="left"/>
      <w:pPr>
        <w:ind w:left="1919" w:hanging="360"/>
      </w:pPr>
      <w:rPr>
        <w:rFonts w:ascii="Verdana" w:hAnsi="Verdana" w:hint="default"/>
        <w:b/>
        <w:i w:val="0"/>
        <w:sz w:val="17"/>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5F451CB"/>
    <w:multiLevelType w:val="hybridMultilevel"/>
    <w:tmpl w:val="23E8070E"/>
    <w:lvl w:ilvl="0" w:tplc="605E63F2">
      <w:start w:val="1"/>
      <w:numFmt w:val="lowerLetter"/>
      <w:lvlText w:val="%1."/>
      <w:lvlJc w:val="left"/>
      <w:pPr>
        <w:ind w:left="720"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5961D0"/>
    <w:multiLevelType w:val="hybridMultilevel"/>
    <w:tmpl w:val="66EA82FE"/>
    <w:lvl w:ilvl="0" w:tplc="629A126A">
      <w:start w:val="1"/>
      <w:numFmt w:val="lowerLetter"/>
      <w:lvlText w:val="%1."/>
      <w:lvlJc w:val="left"/>
      <w:pPr>
        <w:ind w:left="720" w:hanging="360"/>
      </w:pPr>
      <w:rPr>
        <w:rFonts w:ascii="Verdana" w:eastAsiaTheme="minorHAnsi" w:hAnsi="Verdana"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B564B"/>
    <w:multiLevelType w:val="hybridMultilevel"/>
    <w:tmpl w:val="6D3E834C"/>
    <w:lvl w:ilvl="0" w:tplc="629A126A">
      <w:start w:val="1"/>
      <w:numFmt w:val="lowerLetter"/>
      <w:lvlText w:val="%1."/>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9584E"/>
    <w:multiLevelType w:val="hybridMultilevel"/>
    <w:tmpl w:val="B22A6FFA"/>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E265C3"/>
    <w:multiLevelType w:val="hybridMultilevel"/>
    <w:tmpl w:val="7F544E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55EA2"/>
    <w:multiLevelType w:val="hybridMultilevel"/>
    <w:tmpl w:val="78B2D608"/>
    <w:lvl w:ilvl="0" w:tplc="8EE2E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002F8E"/>
    <w:multiLevelType w:val="hybridMultilevel"/>
    <w:tmpl w:val="DE060A8E"/>
    <w:lvl w:ilvl="0" w:tplc="5C105A2C">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EA07C7"/>
    <w:multiLevelType w:val="hybridMultilevel"/>
    <w:tmpl w:val="F8A6926C"/>
    <w:lvl w:ilvl="0" w:tplc="37BC706C">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29686C"/>
    <w:multiLevelType w:val="hybridMultilevel"/>
    <w:tmpl w:val="0C50A1EA"/>
    <w:lvl w:ilvl="0" w:tplc="37BC706C">
      <w:start w:val="1"/>
      <w:numFmt w:val="lowerLetter"/>
      <w:lvlText w:val="%1."/>
      <w:lvlJc w:val="left"/>
      <w:pPr>
        <w:ind w:left="720" w:hanging="360"/>
      </w:pPr>
      <w:rPr>
        <w:rFonts w:ascii="Verdana" w:eastAsiaTheme="minorHAnsi" w:hAnsi="Verdana" w:cstheme="minorBidi"/>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91363"/>
    <w:multiLevelType w:val="hybridMultilevel"/>
    <w:tmpl w:val="065A28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8855B1"/>
    <w:multiLevelType w:val="hybridMultilevel"/>
    <w:tmpl w:val="BB58BE04"/>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BB37BF"/>
    <w:multiLevelType w:val="hybridMultilevel"/>
    <w:tmpl w:val="5FDC03C6"/>
    <w:lvl w:ilvl="0" w:tplc="64385888">
      <w:start w:val="1"/>
      <w:numFmt w:val="lowerLetter"/>
      <w:lvlText w:val="%1."/>
      <w:lvlJc w:val="left"/>
      <w:pPr>
        <w:ind w:left="1080" w:hanging="360"/>
      </w:pPr>
      <w:rPr>
        <w:rFonts w:ascii="Verdana" w:eastAsiaTheme="minorHAnsi" w:hAnsi="Verdana" w:cstheme="minorBidi" w:hint="default"/>
        <w:b w:val="0"/>
      </w:rPr>
    </w:lvl>
    <w:lvl w:ilvl="1" w:tplc="19DEBEF2">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0B94775"/>
    <w:multiLevelType w:val="hybridMultilevel"/>
    <w:tmpl w:val="1916BAE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D555A8"/>
    <w:multiLevelType w:val="hybridMultilevel"/>
    <w:tmpl w:val="0226C656"/>
    <w:lvl w:ilvl="0" w:tplc="629A126A">
      <w:start w:val="1"/>
      <w:numFmt w:val="lowerLetter"/>
      <w:lvlText w:val="%1."/>
      <w:lvlJc w:val="left"/>
      <w:pPr>
        <w:ind w:left="720" w:hanging="360"/>
      </w:pPr>
      <w:rPr>
        <w:rFonts w:ascii="Verdana" w:eastAsiaTheme="minorHAnsi" w:hAnsi="Verdana"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2E2CCC"/>
    <w:multiLevelType w:val="hybridMultilevel"/>
    <w:tmpl w:val="2A1E5012"/>
    <w:lvl w:ilvl="0" w:tplc="4748066C">
      <w:start w:val="1"/>
      <w:numFmt w:val="lowerLetter"/>
      <w:lvlText w:val="%1."/>
      <w:lvlJc w:val="left"/>
      <w:pPr>
        <w:ind w:left="720" w:hanging="360"/>
      </w:pPr>
      <w:rPr>
        <w:rFonts w:ascii="Verdana" w:eastAsiaTheme="minorHAnsi" w:hAnsi="Verdana"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B365DC"/>
    <w:multiLevelType w:val="hybridMultilevel"/>
    <w:tmpl w:val="C6425582"/>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B0C48BD"/>
    <w:multiLevelType w:val="hybridMultilevel"/>
    <w:tmpl w:val="A1A4C1C8"/>
    <w:lvl w:ilvl="0" w:tplc="629A126A">
      <w:start w:val="1"/>
      <w:numFmt w:val="lowerLetter"/>
      <w:lvlText w:val="%1."/>
      <w:lvlJc w:val="left"/>
      <w:pPr>
        <w:ind w:left="720" w:hanging="360"/>
      </w:pPr>
      <w:rPr>
        <w:rFonts w:ascii="Verdana" w:eastAsiaTheme="minorHAnsi" w:hAnsi="Verdan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506C19"/>
    <w:multiLevelType w:val="hybridMultilevel"/>
    <w:tmpl w:val="895AE4C8"/>
    <w:lvl w:ilvl="0" w:tplc="605E63F2">
      <w:start w:val="1"/>
      <w:numFmt w:val="lowerLetter"/>
      <w:lvlText w:val="%1."/>
      <w:lvlJc w:val="left"/>
      <w:pPr>
        <w:ind w:left="720"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12"/>
  </w:num>
  <w:num w:numId="4">
    <w:abstractNumId w:val="27"/>
  </w:num>
  <w:num w:numId="5">
    <w:abstractNumId w:val="14"/>
  </w:num>
  <w:num w:numId="6">
    <w:abstractNumId w:val="4"/>
  </w:num>
  <w:num w:numId="7">
    <w:abstractNumId w:val="24"/>
  </w:num>
  <w:num w:numId="8">
    <w:abstractNumId w:val="25"/>
  </w:num>
  <w:num w:numId="9">
    <w:abstractNumId w:val="23"/>
  </w:num>
  <w:num w:numId="10">
    <w:abstractNumId w:val="10"/>
  </w:num>
  <w:num w:numId="11">
    <w:abstractNumId w:val="8"/>
  </w:num>
  <w:num w:numId="12">
    <w:abstractNumId w:val="17"/>
  </w:num>
  <w:num w:numId="13">
    <w:abstractNumId w:val="16"/>
  </w:num>
  <w:num w:numId="14">
    <w:abstractNumId w:val="13"/>
  </w:num>
  <w:num w:numId="15">
    <w:abstractNumId w:val="35"/>
  </w:num>
  <w:num w:numId="16">
    <w:abstractNumId w:val="2"/>
  </w:num>
  <w:num w:numId="17">
    <w:abstractNumId w:val="20"/>
  </w:num>
  <w:num w:numId="18">
    <w:abstractNumId w:val="37"/>
  </w:num>
  <w:num w:numId="19">
    <w:abstractNumId w:val="3"/>
  </w:num>
  <w:num w:numId="20">
    <w:abstractNumId w:val="15"/>
  </w:num>
  <w:num w:numId="21">
    <w:abstractNumId w:val="18"/>
  </w:num>
  <w:num w:numId="22">
    <w:abstractNumId w:val="5"/>
  </w:num>
  <w:num w:numId="23">
    <w:abstractNumId w:val="7"/>
  </w:num>
  <w:num w:numId="24">
    <w:abstractNumId w:val="30"/>
  </w:num>
  <w:num w:numId="25">
    <w:abstractNumId w:val="36"/>
  </w:num>
  <w:num w:numId="26">
    <w:abstractNumId w:val="28"/>
  </w:num>
  <w:num w:numId="27">
    <w:abstractNumId w:val="22"/>
  </w:num>
  <w:num w:numId="28">
    <w:abstractNumId w:val="31"/>
  </w:num>
  <w:num w:numId="29">
    <w:abstractNumId w:val="26"/>
  </w:num>
  <w:num w:numId="30">
    <w:abstractNumId w:val="6"/>
  </w:num>
  <w:num w:numId="31">
    <w:abstractNumId w:val="19"/>
  </w:num>
  <w:num w:numId="32">
    <w:abstractNumId w:val="38"/>
  </w:num>
  <w:num w:numId="33">
    <w:abstractNumId w:val="21"/>
  </w:num>
  <w:num w:numId="34">
    <w:abstractNumId w:val="9"/>
  </w:num>
  <w:num w:numId="35">
    <w:abstractNumId w:val="1"/>
  </w:num>
  <w:num w:numId="36">
    <w:abstractNumId w:val="11"/>
  </w:num>
  <w:num w:numId="37">
    <w:abstractNumId w:val="0"/>
  </w:num>
  <w:num w:numId="38">
    <w:abstractNumId w:val="32"/>
  </w:num>
  <w:num w:numId="39">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93"/>
    <w:rsid w:val="000027FE"/>
    <w:rsid w:val="00007009"/>
    <w:rsid w:val="00013725"/>
    <w:rsid w:val="00025703"/>
    <w:rsid w:val="00031C51"/>
    <w:rsid w:val="0003725E"/>
    <w:rsid w:val="000376E8"/>
    <w:rsid w:val="0004289F"/>
    <w:rsid w:val="0004537B"/>
    <w:rsid w:val="00050265"/>
    <w:rsid w:val="00051B87"/>
    <w:rsid w:val="00056B24"/>
    <w:rsid w:val="00064F84"/>
    <w:rsid w:val="00066C63"/>
    <w:rsid w:val="000675D0"/>
    <w:rsid w:val="00071981"/>
    <w:rsid w:val="00072E29"/>
    <w:rsid w:val="000745FC"/>
    <w:rsid w:val="00074BE0"/>
    <w:rsid w:val="00075192"/>
    <w:rsid w:val="000870E6"/>
    <w:rsid w:val="00091425"/>
    <w:rsid w:val="000A1F66"/>
    <w:rsid w:val="000B03AC"/>
    <w:rsid w:val="000C3D2B"/>
    <w:rsid w:val="000C76B3"/>
    <w:rsid w:val="000C7812"/>
    <w:rsid w:val="000D06C9"/>
    <w:rsid w:val="000D4995"/>
    <w:rsid w:val="000D5B69"/>
    <w:rsid w:val="000D7DD0"/>
    <w:rsid w:val="000E2121"/>
    <w:rsid w:val="000E2746"/>
    <w:rsid w:val="000E300A"/>
    <w:rsid w:val="000E30EA"/>
    <w:rsid w:val="000E472E"/>
    <w:rsid w:val="000F5722"/>
    <w:rsid w:val="00110B91"/>
    <w:rsid w:val="00113EFD"/>
    <w:rsid w:val="0011454A"/>
    <w:rsid w:val="001147DA"/>
    <w:rsid w:val="00115C63"/>
    <w:rsid w:val="00121ABC"/>
    <w:rsid w:val="00131036"/>
    <w:rsid w:val="00131D7F"/>
    <w:rsid w:val="001356E9"/>
    <w:rsid w:val="00135E9A"/>
    <w:rsid w:val="00137090"/>
    <w:rsid w:val="001446FA"/>
    <w:rsid w:val="00153A69"/>
    <w:rsid w:val="00155E7E"/>
    <w:rsid w:val="001574DB"/>
    <w:rsid w:val="001625F7"/>
    <w:rsid w:val="00162878"/>
    <w:rsid w:val="00167CFF"/>
    <w:rsid w:val="00170869"/>
    <w:rsid w:val="00170AC1"/>
    <w:rsid w:val="00170ECE"/>
    <w:rsid w:val="00181D93"/>
    <w:rsid w:val="001828CB"/>
    <w:rsid w:val="00184534"/>
    <w:rsid w:val="00187379"/>
    <w:rsid w:val="001A4FB3"/>
    <w:rsid w:val="001B0D12"/>
    <w:rsid w:val="001B31CF"/>
    <w:rsid w:val="001C2A78"/>
    <w:rsid w:val="001C72DA"/>
    <w:rsid w:val="001D1AFD"/>
    <w:rsid w:val="001D21D9"/>
    <w:rsid w:val="001E5483"/>
    <w:rsid w:val="001E7499"/>
    <w:rsid w:val="002031BA"/>
    <w:rsid w:val="00211779"/>
    <w:rsid w:val="00212B49"/>
    <w:rsid w:val="00213915"/>
    <w:rsid w:val="00213FA2"/>
    <w:rsid w:val="00214BF3"/>
    <w:rsid w:val="002239ED"/>
    <w:rsid w:val="00225C0E"/>
    <w:rsid w:val="00225D45"/>
    <w:rsid w:val="00225DDE"/>
    <w:rsid w:val="002319AB"/>
    <w:rsid w:val="00232654"/>
    <w:rsid w:val="00235450"/>
    <w:rsid w:val="00236DFA"/>
    <w:rsid w:val="002371B8"/>
    <w:rsid w:val="00237E9B"/>
    <w:rsid w:val="00240C9E"/>
    <w:rsid w:val="002425E6"/>
    <w:rsid w:val="002462F8"/>
    <w:rsid w:val="0024738D"/>
    <w:rsid w:val="00255632"/>
    <w:rsid w:val="00260058"/>
    <w:rsid w:val="00264317"/>
    <w:rsid w:val="00271F49"/>
    <w:rsid w:val="002730B0"/>
    <w:rsid w:val="00281204"/>
    <w:rsid w:val="002815ED"/>
    <w:rsid w:val="002824ED"/>
    <w:rsid w:val="00284AB2"/>
    <w:rsid w:val="00290747"/>
    <w:rsid w:val="00291674"/>
    <w:rsid w:val="002946FB"/>
    <w:rsid w:val="00296F30"/>
    <w:rsid w:val="002A3D90"/>
    <w:rsid w:val="002A56D1"/>
    <w:rsid w:val="002A7C0B"/>
    <w:rsid w:val="002A7C8C"/>
    <w:rsid w:val="002B106A"/>
    <w:rsid w:val="002B3975"/>
    <w:rsid w:val="002B4ABE"/>
    <w:rsid w:val="002C6109"/>
    <w:rsid w:val="002D2C42"/>
    <w:rsid w:val="002D2D4E"/>
    <w:rsid w:val="002D4B7C"/>
    <w:rsid w:val="002D58D8"/>
    <w:rsid w:val="002E174D"/>
    <w:rsid w:val="002E240C"/>
    <w:rsid w:val="002E2D34"/>
    <w:rsid w:val="003026F6"/>
    <w:rsid w:val="00303F5C"/>
    <w:rsid w:val="00304C1D"/>
    <w:rsid w:val="00313494"/>
    <w:rsid w:val="0031420D"/>
    <w:rsid w:val="00314F88"/>
    <w:rsid w:val="0032045C"/>
    <w:rsid w:val="00321014"/>
    <w:rsid w:val="0032156B"/>
    <w:rsid w:val="00322423"/>
    <w:rsid w:val="003400B0"/>
    <w:rsid w:val="00340730"/>
    <w:rsid w:val="00340E89"/>
    <w:rsid w:val="003419FC"/>
    <w:rsid w:val="0034335B"/>
    <w:rsid w:val="003434E4"/>
    <w:rsid w:val="00344855"/>
    <w:rsid w:val="00361486"/>
    <w:rsid w:val="00364B79"/>
    <w:rsid w:val="00364BD3"/>
    <w:rsid w:val="00366508"/>
    <w:rsid w:val="00367367"/>
    <w:rsid w:val="00371EA1"/>
    <w:rsid w:val="003720E2"/>
    <w:rsid w:val="00384BD6"/>
    <w:rsid w:val="00392D16"/>
    <w:rsid w:val="00393702"/>
    <w:rsid w:val="003948B7"/>
    <w:rsid w:val="00395494"/>
    <w:rsid w:val="003A6747"/>
    <w:rsid w:val="003A72E9"/>
    <w:rsid w:val="003B0E60"/>
    <w:rsid w:val="003B163A"/>
    <w:rsid w:val="003B707D"/>
    <w:rsid w:val="003B7440"/>
    <w:rsid w:val="003C465E"/>
    <w:rsid w:val="003C6DC9"/>
    <w:rsid w:val="003D274C"/>
    <w:rsid w:val="003D70EB"/>
    <w:rsid w:val="003E30BF"/>
    <w:rsid w:val="003E4F31"/>
    <w:rsid w:val="003E6DEA"/>
    <w:rsid w:val="003F058C"/>
    <w:rsid w:val="003F1149"/>
    <w:rsid w:val="003F6444"/>
    <w:rsid w:val="0041318D"/>
    <w:rsid w:val="00414778"/>
    <w:rsid w:val="0042116D"/>
    <w:rsid w:val="0042141B"/>
    <w:rsid w:val="00433AF6"/>
    <w:rsid w:val="00436B84"/>
    <w:rsid w:val="00437342"/>
    <w:rsid w:val="00453E33"/>
    <w:rsid w:val="004556B9"/>
    <w:rsid w:val="004721E7"/>
    <w:rsid w:val="004770EA"/>
    <w:rsid w:val="00480973"/>
    <w:rsid w:val="004815BE"/>
    <w:rsid w:val="00486860"/>
    <w:rsid w:val="00487707"/>
    <w:rsid w:val="00491178"/>
    <w:rsid w:val="004950AF"/>
    <w:rsid w:val="0049697A"/>
    <w:rsid w:val="004A04F9"/>
    <w:rsid w:val="004B18C7"/>
    <w:rsid w:val="004C0D27"/>
    <w:rsid w:val="004C4A9E"/>
    <w:rsid w:val="004C65D6"/>
    <w:rsid w:val="004D1CE1"/>
    <w:rsid w:val="004D658F"/>
    <w:rsid w:val="004D7489"/>
    <w:rsid w:val="004E1E7D"/>
    <w:rsid w:val="004E2B51"/>
    <w:rsid w:val="004E40DD"/>
    <w:rsid w:val="004E761E"/>
    <w:rsid w:val="00502B1A"/>
    <w:rsid w:val="0050669D"/>
    <w:rsid w:val="00512EB2"/>
    <w:rsid w:val="00523E32"/>
    <w:rsid w:val="00525132"/>
    <w:rsid w:val="00527B9C"/>
    <w:rsid w:val="00533A64"/>
    <w:rsid w:val="00534EBE"/>
    <w:rsid w:val="005450BE"/>
    <w:rsid w:val="0054632A"/>
    <w:rsid w:val="00546457"/>
    <w:rsid w:val="00547289"/>
    <w:rsid w:val="00550E0C"/>
    <w:rsid w:val="00554707"/>
    <w:rsid w:val="00557317"/>
    <w:rsid w:val="00566460"/>
    <w:rsid w:val="00567183"/>
    <w:rsid w:val="00567E0D"/>
    <w:rsid w:val="00574011"/>
    <w:rsid w:val="005740C1"/>
    <w:rsid w:val="00583779"/>
    <w:rsid w:val="00583E39"/>
    <w:rsid w:val="00584479"/>
    <w:rsid w:val="005859DE"/>
    <w:rsid w:val="00587B2D"/>
    <w:rsid w:val="00591A74"/>
    <w:rsid w:val="005A082B"/>
    <w:rsid w:val="005A17AA"/>
    <w:rsid w:val="005A54D5"/>
    <w:rsid w:val="005B22A4"/>
    <w:rsid w:val="005C7AA7"/>
    <w:rsid w:val="005C7BF9"/>
    <w:rsid w:val="005D2A33"/>
    <w:rsid w:val="005D381F"/>
    <w:rsid w:val="005E3D2B"/>
    <w:rsid w:val="005F0933"/>
    <w:rsid w:val="005F2B4D"/>
    <w:rsid w:val="005F3955"/>
    <w:rsid w:val="005F7C89"/>
    <w:rsid w:val="0060029B"/>
    <w:rsid w:val="00605183"/>
    <w:rsid w:val="00607CC8"/>
    <w:rsid w:val="00610E4B"/>
    <w:rsid w:val="00611D60"/>
    <w:rsid w:val="006137EF"/>
    <w:rsid w:val="00614800"/>
    <w:rsid w:val="0062026F"/>
    <w:rsid w:val="00622838"/>
    <w:rsid w:val="00622C7A"/>
    <w:rsid w:val="00626ACD"/>
    <w:rsid w:val="006300F3"/>
    <w:rsid w:val="00634BD6"/>
    <w:rsid w:val="006403CF"/>
    <w:rsid w:val="00640A5C"/>
    <w:rsid w:val="00640E9C"/>
    <w:rsid w:val="00642093"/>
    <w:rsid w:val="006468D7"/>
    <w:rsid w:val="00647B7C"/>
    <w:rsid w:val="00650D8E"/>
    <w:rsid w:val="0065311D"/>
    <w:rsid w:val="00655907"/>
    <w:rsid w:val="006606D5"/>
    <w:rsid w:val="0066120A"/>
    <w:rsid w:val="006718AE"/>
    <w:rsid w:val="00672D1E"/>
    <w:rsid w:val="00675665"/>
    <w:rsid w:val="0067567F"/>
    <w:rsid w:val="006767CA"/>
    <w:rsid w:val="00680695"/>
    <w:rsid w:val="00681200"/>
    <w:rsid w:val="006848A8"/>
    <w:rsid w:val="00687353"/>
    <w:rsid w:val="006915A0"/>
    <w:rsid w:val="00697C3F"/>
    <w:rsid w:val="006A36B3"/>
    <w:rsid w:val="006B723B"/>
    <w:rsid w:val="006C27E9"/>
    <w:rsid w:val="006C3244"/>
    <w:rsid w:val="006C5891"/>
    <w:rsid w:val="006D26C6"/>
    <w:rsid w:val="006D3D1B"/>
    <w:rsid w:val="006D5BB4"/>
    <w:rsid w:val="006D7B75"/>
    <w:rsid w:val="006E32ED"/>
    <w:rsid w:val="006E4D2A"/>
    <w:rsid w:val="006F0DC4"/>
    <w:rsid w:val="006F245E"/>
    <w:rsid w:val="006F6DF9"/>
    <w:rsid w:val="00702E75"/>
    <w:rsid w:val="00710115"/>
    <w:rsid w:val="0071164D"/>
    <w:rsid w:val="00713FEF"/>
    <w:rsid w:val="0072541A"/>
    <w:rsid w:val="0073208C"/>
    <w:rsid w:val="00733214"/>
    <w:rsid w:val="00736839"/>
    <w:rsid w:val="007372C5"/>
    <w:rsid w:val="00741D31"/>
    <w:rsid w:val="00743319"/>
    <w:rsid w:val="00747506"/>
    <w:rsid w:val="007607D0"/>
    <w:rsid w:val="00766F0C"/>
    <w:rsid w:val="00772768"/>
    <w:rsid w:val="00774619"/>
    <w:rsid w:val="00777F56"/>
    <w:rsid w:val="00783407"/>
    <w:rsid w:val="007858AA"/>
    <w:rsid w:val="00792988"/>
    <w:rsid w:val="00793AAB"/>
    <w:rsid w:val="007A08FE"/>
    <w:rsid w:val="007A5F32"/>
    <w:rsid w:val="007A63B0"/>
    <w:rsid w:val="007A6A40"/>
    <w:rsid w:val="007B357F"/>
    <w:rsid w:val="007B611E"/>
    <w:rsid w:val="007B6F47"/>
    <w:rsid w:val="007C021D"/>
    <w:rsid w:val="007C66C9"/>
    <w:rsid w:val="007D20E3"/>
    <w:rsid w:val="007D3BD0"/>
    <w:rsid w:val="007E2241"/>
    <w:rsid w:val="007F2CD0"/>
    <w:rsid w:val="007F2E85"/>
    <w:rsid w:val="007F3C3B"/>
    <w:rsid w:val="008007F8"/>
    <w:rsid w:val="00800D0E"/>
    <w:rsid w:val="008052F3"/>
    <w:rsid w:val="00806A53"/>
    <w:rsid w:val="00806E31"/>
    <w:rsid w:val="0081643F"/>
    <w:rsid w:val="00822A0B"/>
    <w:rsid w:val="008239D6"/>
    <w:rsid w:val="008310B2"/>
    <w:rsid w:val="00834C14"/>
    <w:rsid w:val="00836DA7"/>
    <w:rsid w:val="008434D9"/>
    <w:rsid w:val="008459F6"/>
    <w:rsid w:val="008516F2"/>
    <w:rsid w:val="00853C07"/>
    <w:rsid w:val="008556C1"/>
    <w:rsid w:val="00857213"/>
    <w:rsid w:val="00857CE7"/>
    <w:rsid w:val="00867A8F"/>
    <w:rsid w:val="008733A9"/>
    <w:rsid w:val="00881DE4"/>
    <w:rsid w:val="00885FAE"/>
    <w:rsid w:val="00890C0B"/>
    <w:rsid w:val="0089295C"/>
    <w:rsid w:val="00896DCD"/>
    <w:rsid w:val="008A14BF"/>
    <w:rsid w:val="008A2218"/>
    <w:rsid w:val="008A5BE4"/>
    <w:rsid w:val="008A7EB1"/>
    <w:rsid w:val="008B040E"/>
    <w:rsid w:val="008B3F12"/>
    <w:rsid w:val="008B5DF2"/>
    <w:rsid w:val="008C1F67"/>
    <w:rsid w:val="008C2070"/>
    <w:rsid w:val="008C4E57"/>
    <w:rsid w:val="008C718D"/>
    <w:rsid w:val="008C751C"/>
    <w:rsid w:val="008C7B21"/>
    <w:rsid w:val="008D1E80"/>
    <w:rsid w:val="008E58DE"/>
    <w:rsid w:val="008E6BF6"/>
    <w:rsid w:val="008F23DE"/>
    <w:rsid w:val="009021EB"/>
    <w:rsid w:val="00904350"/>
    <w:rsid w:val="00905822"/>
    <w:rsid w:val="0092066F"/>
    <w:rsid w:val="00920AC0"/>
    <w:rsid w:val="00921B31"/>
    <w:rsid w:val="00922A42"/>
    <w:rsid w:val="00922ACB"/>
    <w:rsid w:val="009249F7"/>
    <w:rsid w:val="00926F20"/>
    <w:rsid w:val="009309EF"/>
    <w:rsid w:val="00935281"/>
    <w:rsid w:val="00941C16"/>
    <w:rsid w:val="009440F2"/>
    <w:rsid w:val="00946CBA"/>
    <w:rsid w:val="00952264"/>
    <w:rsid w:val="00956C27"/>
    <w:rsid w:val="00957C0E"/>
    <w:rsid w:val="0096255F"/>
    <w:rsid w:val="00964BA9"/>
    <w:rsid w:val="009665B2"/>
    <w:rsid w:val="009718E6"/>
    <w:rsid w:val="009719E0"/>
    <w:rsid w:val="00976388"/>
    <w:rsid w:val="009770DA"/>
    <w:rsid w:val="0099718B"/>
    <w:rsid w:val="009A0420"/>
    <w:rsid w:val="009A401E"/>
    <w:rsid w:val="009A6A70"/>
    <w:rsid w:val="009B4767"/>
    <w:rsid w:val="009C001A"/>
    <w:rsid w:val="009C3E58"/>
    <w:rsid w:val="009C65B8"/>
    <w:rsid w:val="009D7750"/>
    <w:rsid w:val="009E07BC"/>
    <w:rsid w:val="009F4F22"/>
    <w:rsid w:val="00A050A6"/>
    <w:rsid w:val="00A05800"/>
    <w:rsid w:val="00A11F8E"/>
    <w:rsid w:val="00A2048C"/>
    <w:rsid w:val="00A27E0C"/>
    <w:rsid w:val="00A33BBF"/>
    <w:rsid w:val="00A4171F"/>
    <w:rsid w:val="00A442E0"/>
    <w:rsid w:val="00A474EE"/>
    <w:rsid w:val="00A5148B"/>
    <w:rsid w:val="00A61990"/>
    <w:rsid w:val="00A7140C"/>
    <w:rsid w:val="00A727F1"/>
    <w:rsid w:val="00A76CEF"/>
    <w:rsid w:val="00A76F3A"/>
    <w:rsid w:val="00A810AC"/>
    <w:rsid w:val="00A955FF"/>
    <w:rsid w:val="00A9735A"/>
    <w:rsid w:val="00A97B07"/>
    <w:rsid w:val="00AA1935"/>
    <w:rsid w:val="00AA278F"/>
    <w:rsid w:val="00AA4730"/>
    <w:rsid w:val="00AA52E2"/>
    <w:rsid w:val="00AA6463"/>
    <w:rsid w:val="00AB00AC"/>
    <w:rsid w:val="00AB68AD"/>
    <w:rsid w:val="00AC17C2"/>
    <w:rsid w:val="00AC4D3F"/>
    <w:rsid w:val="00AE7F70"/>
    <w:rsid w:val="00AF5313"/>
    <w:rsid w:val="00AF76E0"/>
    <w:rsid w:val="00B04187"/>
    <w:rsid w:val="00B1038A"/>
    <w:rsid w:val="00B11168"/>
    <w:rsid w:val="00B1177B"/>
    <w:rsid w:val="00B1415E"/>
    <w:rsid w:val="00B30EA4"/>
    <w:rsid w:val="00B35308"/>
    <w:rsid w:val="00B40328"/>
    <w:rsid w:val="00B54FF6"/>
    <w:rsid w:val="00B555C4"/>
    <w:rsid w:val="00B621EA"/>
    <w:rsid w:val="00B645A4"/>
    <w:rsid w:val="00B75E6F"/>
    <w:rsid w:val="00B76572"/>
    <w:rsid w:val="00B76BE8"/>
    <w:rsid w:val="00B81D02"/>
    <w:rsid w:val="00B92802"/>
    <w:rsid w:val="00B94AE5"/>
    <w:rsid w:val="00B96C6A"/>
    <w:rsid w:val="00BA4B07"/>
    <w:rsid w:val="00BA4FAE"/>
    <w:rsid w:val="00BB182E"/>
    <w:rsid w:val="00BB1FC6"/>
    <w:rsid w:val="00BB272D"/>
    <w:rsid w:val="00BB5295"/>
    <w:rsid w:val="00BB5535"/>
    <w:rsid w:val="00BB62F3"/>
    <w:rsid w:val="00BB68AF"/>
    <w:rsid w:val="00BB6D9C"/>
    <w:rsid w:val="00BC4CDF"/>
    <w:rsid w:val="00BC7404"/>
    <w:rsid w:val="00BC7AC8"/>
    <w:rsid w:val="00BD4CC8"/>
    <w:rsid w:val="00BE1D16"/>
    <w:rsid w:val="00C009B3"/>
    <w:rsid w:val="00C0217C"/>
    <w:rsid w:val="00C03A9C"/>
    <w:rsid w:val="00C1504E"/>
    <w:rsid w:val="00C34307"/>
    <w:rsid w:val="00C343FE"/>
    <w:rsid w:val="00C40770"/>
    <w:rsid w:val="00C44AE3"/>
    <w:rsid w:val="00C46995"/>
    <w:rsid w:val="00C5361A"/>
    <w:rsid w:val="00C606A5"/>
    <w:rsid w:val="00C61312"/>
    <w:rsid w:val="00C61B1F"/>
    <w:rsid w:val="00C67D3A"/>
    <w:rsid w:val="00C73E92"/>
    <w:rsid w:val="00C763B6"/>
    <w:rsid w:val="00C767CD"/>
    <w:rsid w:val="00C8281A"/>
    <w:rsid w:val="00C91372"/>
    <w:rsid w:val="00C918A2"/>
    <w:rsid w:val="00C93E69"/>
    <w:rsid w:val="00C94652"/>
    <w:rsid w:val="00C958A8"/>
    <w:rsid w:val="00CB1717"/>
    <w:rsid w:val="00CB5206"/>
    <w:rsid w:val="00CB6B6D"/>
    <w:rsid w:val="00CC0B24"/>
    <w:rsid w:val="00CD3661"/>
    <w:rsid w:val="00CD46E7"/>
    <w:rsid w:val="00CD5EA9"/>
    <w:rsid w:val="00CD6BF9"/>
    <w:rsid w:val="00CE1AB8"/>
    <w:rsid w:val="00CE2BB5"/>
    <w:rsid w:val="00CE3A1F"/>
    <w:rsid w:val="00CE559B"/>
    <w:rsid w:val="00CE5CF5"/>
    <w:rsid w:val="00CF4057"/>
    <w:rsid w:val="00CF4A92"/>
    <w:rsid w:val="00CF65CA"/>
    <w:rsid w:val="00CF6CD6"/>
    <w:rsid w:val="00D15515"/>
    <w:rsid w:val="00D2108F"/>
    <w:rsid w:val="00D21C2F"/>
    <w:rsid w:val="00D21D62"/>
    <w:rsid w:val="00D24E57"/>
    <w:rsid w:val="00D258BB"/>
    <w:rsid w:val="00D34F8B"/>
    <w:rsid w:val="00D35456"/>
    <w:rsid w:val="00D35DF8"/>
    <w:rsid w:val="00D458D1"/>
    <w:rsid w:val="00D50E1D"/>
    <w:rsid w:val="00D54ED4"/>
    <w:rsid w:val="00D74BDC"/>
    <w:rsid w:val="00D80AD8"/>
    <w:rsid w:val="00D84C92"/>
    <w:rsid w:val="00D92BF1"/>
    <w:rsid w:val="00D930F8"/>
    <w:rsid w:val="00D94CF0"/>
    <w:rsid w:val="00D963E9"/>
    <w:rsid w:val="00D9642E"/>
    <w:rsid w:val="00DA1B6A"/>
    <w:rsid w:val="00DA1F9D"/>
    <w:rsid w:val="00DA3223"/>
    <w:rsid w:val="00DA3796"/>
    <w:rsid w:val="00DA3E47"/>
    <w:rsid w:val="00DA6117"/>
    <w:rsid w:val="00DA611E"/>
    <w:rsid w:val="00DA78B1"/>
    <w:rsid w:val="00DB2991"/>
    <w:rsid w:val="00DB33BF"/>
    <w:rsid w:val="00DB5050"/>
    <w:rsid w:val="00DC5A57"/>
    <w:rsid w:val="00DC7959"/>
    <w:rsid w:val="00DD3D9D"/>
    <w:rsid w:val="00DD592B"/>
    <w:rsid w:val="00DD712A"/>
    <w:rsid w:val="00DE460A"/>
    <w:rsid w:val="00DE6EFC"/>
    <w:rsid w:val="00DF7BFE"/>
    <w:rsid w:val="00E05345"/>
    <w:rsid w:val="00E11279"/>
    <w:rsid w:val="00E1200D"/>
    <w:rsid w:val="00E159D8"/>
    <w:rsid w:val="00E26016"/>
    <w:rsid w:val="00E30DCC"/>
    <w:rsid w:val="00E43216"/>
    <w:rsid w:val="00E43C73"/>
    <w:rsid w:val="00E44A32"/>
    <w:rsid w:val="00E533C1"/>
    <w:rsid w:val="00E54063"/>
    <w:rsid w:val="00E614CC"/>
    <w:rsid w:val="00E639D9"/>
    <w:rsid w:val="00E6699F"/>
    <w:rsid w:val="00E805E7"/>
    <w:rsid w:val="00E83608"/>
    <w:rsid w:val="00E8509C"/>
    <w:rsid w:val="00E85B16"/>
    <w:rsid w:val="00E87D95"/>
    <w:rsid w:val="00E928A1"/>
    <w:rsid w:val="00E958FC"/>
    <w:rsid w:val="00E95D03"/>
    <w:rsid w:val="00E96705"/>
    <w:rsid w:val="00E97902"/>
    <w:rsid w:val="00EA6DC1"/>
    <w:rsid w:val="00EC5BD2"/>
    <w:rsid w:val="00EC685A"/>
    <w:rsid w:val="00EE03A9"/>
    <w:rsid w:val="00EE2592"/>
    <w:rsid w:val="00EE278C"/>
    <w:rsid w:val="00EF1851"/>
    <w:rsid w:val="00EF290D"/>
    <w:rsid w:val="00EF55B2"/>
    <w:rsid w:val="00F03649"/>
    <w:rsid w:val="00F05E80"/>
    <w:rsid w:val="00F1333D"/>
    <w:rsid w:val="00F13FE3"/>
    <w:rsid w:val="00F16AF4"/>
    <w:rsid w:val="00F16FDB"/>
    <w:rsid w:val="00F22221"/>
    <w:rsid w:val="00F23564"/>
    <w:rsid w:val="00F2773D"/>
    <w:rsid w:val="00F311D0"/>
    <w:rsid w:val="00F349BC"/>
    <w:rsid w:val="00F36838"/>
    <w:rsid w:val="00F4348C"/>
    <w:rsid w:val="00F44A74"/>
    <w:rsid w:val="00F455D8"/>
    <w:rsid w:val="00F533E9"/>
    <w:rsid w:val="00F53E87"/>
    <w:rsid w:val="00F54812"/>
    <w:rsid w:val="00F54F77"/>
    <w:rsid w:val="00F63003"/>
    <w:rsid w:val="00F6741C"/>
    <w:rsid w:val="00F71203"/>
    <w:rsid w:val="00F777E0"/>
    <w:rsid w:val="00F847C6"/>
    <w:rsid w:val="00F853EE"/>
    <w:rsid w:val="00F90E60"/>
    <w:rsid w:val="00F93F09"/>
    <w:rsid w:val="00F94531"/>
    <w:rsid w:val="00F948B8"/>
    <w:rsid w:val="00F9546D"/>
    <w:rsid w:val="00FA0725"/>
    <w:rsid w:val="00FA2C2E"/>
    <w:rsid w:val="00FA6546"/>
    <w:rsid w:val="00FB37C2"/>
    <w:rsid w:val="00FB3CCF"/>
    <w:rsid w:val="00FB6B0F"/>
    <w:rsid w:val="00FD6AB3"/>
    <w:rsid w:val="00FD75BC"/>
    <w:rsid w:val="00FE48DF"/>
    <w:rsid w:val="00FE7854"/>
    <w:rsid w:val="00FF1753"/>
    <w:rsid w:val="00FF2461"/>
    <w:rsid w:val="00FF3446"/>
    <w:rsid w:val="00FF5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BDEB"/>
  <w15:docId w15:val="{426D0F42-5B3A-49C9-8921-B22447D0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64F84"/>
    <w:pPr>
      <w:spacing w:after="0" w:line="260" w:lineRule="exact"/>
    </w:pPr>
  </w:style>
  <w:style w:type="paragraph" w:styleId="Kop1">
    <w:name w:val="heading 1"/>
    <w:basedOn w:val="Standaard"/>
    <w:next w:val="Standaard"/>
    <w:link w:val="Kop1Char"/>
    <w:uiPriority w:val="9"/>
    <w:qFormat/>
    <w:rsid w:val="006C3244"/>
    <w:pPr>
      <w:keepNext/>
      <w:keepLines/>
      <w:spacing w:after="240"/>
      <w:outlineLvl w:val="0"/>
    </w:pPr>
    <w:rPr>
      <w:rFonts w:eastAsiaTheme="majorEastAsia" w:cstheme="majorBidi"/>
      <w:b/>
      <w:bCs/>
      <w:sz w:val="22"/>
      <w:szCs w:val="28"/>
    </w:rPr>
  </w:style>
  <w:style w:type="paragraph" w:styleId="Kop2">
    <w:name w:val="heading 2"/>
    <w:basedOn w:val="Standaard"/>
    <w:next w:val="Standaard"/>
    <w:link w:val="Kop2Char"/>
    <w:uiPriority w:val="9"/>
    <w:unhideWhenUsed/>
    <w:qFormat/>
    <w:rsid w:val="00184534"/>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3F5C"/>
    <w:rPr>
      <w:color w:val="0000FF" w:themeColor="hyperlink"/>
      <w:u w:val="single"/>
    </w:rPr>
  </w:style>
  <w:style w:type="character" w:styleId="GevolgdeHyperlink">
    <w:name w:val="FollowedHyperlink"/>
    <w:basedOn w:val="Standaardalinea-lettertype"/>
    <w:uiPriority w:val="99"/>
    <w:semiHidden/>
    <w:unhideWhenUsed/>
    <w:rsid w:val="00303F5C"/>
    <w:rPr>
      <w:color w:val="800080" w:themeColor="followedHyperlink"/>
      <w:u w:val="single"/>
    </w:rPr>
  </w:style>
  <w:style w:type="paragraph" w:styleId="Revisie">
    <w:name w:val="Revision"/>
    <w:hidden/>
    <w:uiPriority w:val="99"/>
    <w:semiHidden/>
    <w:rsid w:val="00DC7959"/>
    <w:pPr>
      <w:spacing w:after="0" w:line="240" w:lineRule="auto"/>
    </w:pPr>
  </w:style>
  <w:style w:type="paragraph" w:styleId="Ballontekst">
    <w:name w:val="Balloon Text"/>
    <w:basedOn w:val="Standaard"/>
    <w:link w:val="BallontekstChar"/>
    <w:uiPriority w:val="99"/>
    <w:semiHidden/>
    <w:unhideWhenUsed/>
    <w:rsid w:val="00DC79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7959"/>
    <w:rPr>
      <w:rFonts w:ascii="Tahoma" w:hAnsi="Tahoma" w:cs="Tahoma"/>
      <w:sz w:val="16"/>
      <w:szCs w:val="16"/>
    </w:rPr>
  </w:style>
  <w:style w:type="paragraph" w:styleId="Lijstalinea">
    <w:name w:val="List Paragraph"/>
    <w:basedOn w:val="Standaard"/>
    <w:uiPriority w:val="34"/>
    <w:qFormat/>
    <w:rsid w:val="003E30BF"/>
    <w:pPr>
      <w:ind w:left="720"/>
      <w:contextualSpacing/>
    </w:pPr>
  </w:style>
  <w:style w:type="character" w:customStyle="1" w:styleId="Kop2Char">
    <w:name w:val="Kop 2 Char"/>
    <w:basedOn w:val="Standaardalinea-lettertype"/>
    <w:link w:val="Kop2"/>
    <w:uiPriority w:val="9"/>
    <w:rsid w:val="00184534"/>
    <w:rPr>
      <w:rFonts w:eastAsiaTheme="majorEastAsia" w:cstheme="majorBidi"/>
      <w:b/>
      <w:bCs/>
      <w:szCs w:val="26"/>
    </w:rPr>
  </w:style>
  <w:style w:type="character" w:customStyle="1" w:styleId="Kop1Char">
    <w:name w:val="Kop 1 Char"/>
    <w:basedOn w:val="Standaardalinea-lettertype"/>
    <w:link w:val="Kop1"/>
    <w:uiPriority w:val="9"/>
    <w:rsid w:val="006C3244"/>
    <w:rPr>
      <w:rFonts w:eastAsiaTheme="majorEastAsia" w:cstheme="majorBidi"/>
      <w:b/>
      <w:bCs/>
      <w:sz w:val="22"/>
      <w:szCs w:val="28"/>
    </w:rPr>
  </w:style>
  <w:style w:type="paragraph" w:styleId="Voetnoottekst">
    <w:name w:val="footnote text"/>
    <w:basedOn w:val="Standaard"/>
    <w:link w:val="VoetnoottekstChar"/>
    <w:uiPriority w:val="99"/>
    <w:semiHidden/>
    <w:unhideWhenUsed/>
    <w:rsid w:val="0026431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64317"/>
    <w:rPr>
      <w:sz w:val="20"/>
      <w:szCs w:val="20"/>
    </w:rPr>
  </w:style>
  <w:style w:type="character" w:styleId="Voetnootmarkering">
    <w:name w:val="footnote reference"/>
    <w:basedOn w:val="Standaardalinea-lettertype"/>
    <w:uiPriority w:val="99"/>
    <w:unhideWhenUsed/>
    <w:rsid w:val="00264317"/>
    <w:rPr>
      <w:vertAlign w:val="superscript"/>
    </w:rPr>
  </w:style>
  <w:style w:type="paragraph" w:customStyle="1" w:styleId="Artikel">
    <w:name w:val="Artikel"/>
    <w:basedOn w:val="Standaard"/>
    <w:next w:val="Standaard"/>
    <w:link w:val="ArtikelChar"/>
    <w:qFormat/>
    <w:rsid w:val="00184534"/>
    <w:pPr>
      <w:keepNext/>
      <w:numPr>
        <w:numId w:val="17"/>
      </w:numPr>
      <w:ind w:left="357" w:hanging="357"/>
    </w:pPr>
    <w:rPr>
      <w:lang w:val="nl-NL"/>
    </w:rPr>
  </w:style>
  <w:style w:type="character" w:customStyle="1" w:styleId="ArtikelChar">
    <w:name w:val="Artikel Char"/>
    <w:basedOn w:val="Standaardalinea-lettertype"/>
    <w:link w:val="Artikel"/>
    <w:rsid w:val="00184534"/>
    <w:rPr>
      <w:lang w:val="nl-NL"/>
    </w:rPr>
  </w:style>
  <w:style w:type="character" w:styleId="Verwijzingopmerking">
    <w:name w:val="annotation reference"/>
    <w:basedOn w:val="Standaardalinea-lettertype"/>
    <w:uiPriority w:val="99"/>
    <w:unhideWhenUsed/>
    <w:rsid w:val="003C465E"/>
    <w:rPr>
      <w:sz w:val="16"/>
      <w:szCs w:val="16"/>
    </w:rPr>
  </w:style>
  <w:style w:type="paragraph" w:styleId="Tekstopmerking">
    <w:name w:val="annotation text"/>
    <w:basedOn w:val="Standaard"/>
    <w:link w:val="TekstopmerkingChar"/>
    <w:unhideWhenUsed/>
    <w:rsid w:val="003C465E"/>
    <w:pPr>
      <w:spacing w:line="240" w:lineRule="auto"/>
    </w:pPr>
    <w:rPr>
      <w:sz w:val="20"/>
      <w:szCs w:val="20"/>
    </w:rPr>
  </w:style>
  <w:style w:type="character" w:customStyle="1" w:styleId="TekstopmerkingChar">
    <w:name w:val="Tekst opmerking Char"/>
    <w:basedOn w:val="Standaardalinea-lettertype"/>
    <w:link w:val="Tekstopmerking"/>
    <w:rsid w:val="003C465E"/>
    <w:rPr>
      <w:sz w:val="20"/>
      <w:szCs w:val="20"/>
    </w:rPr>
  </w:style>
  <w:style w:type="paragraph" w:styleId="Onderwerpvanopmerking">
    <w:name w:val="annotation subject"/>
    <w:basedOn w:val="Tekstopmerking"/>
    <w:next w:val="Tekstopmerking"/>
    <w:link w:val="OnderwerpvanopmerkingChar"/>
    <w:uiPriority w:val="99"/>
    <w:semiHidden/>
    <w:unhideWhenUsed/>
    <w:rsid w:val="003C465E"/>
    <w:rPr>
      <w:b/>
      <w:bCs/>
    </w:rPr>
  </w:style>
  <w:style w:type="character" w:customStyle="1" w:styleId="OnderwerpvanopmerkingChar">
    <w:name w:val="Onderwerp van opmerking Char"/>
    <w:basedOn w:val="TekstopmerkingChar"/>
    <w:link w:val="Onderwerpvanopmerking"/>
    <w:uiPriority w:val="99"/>
    <w:semiHidden/>
    <w:rsid w:val="003C465E"/>
    <w:rPr>
      <w:b/>
      <w:bCs/>
      <w:sz w:val="20"/>
      <w:szCs w:val="20"/>
    </w:rPr>
  </w:style>
  <w:style w:type="paragraph" w:styleId="Koptekst">
    <w:name w:val="header"/>
    <w:basedOn w:val="Standaard"/>
    <w:link w:val="KoptekstChar"/>
    <w:uiPriority w:val="99"/>
    <w:unhideWhenUsed/>
    <w:rsid w:val="003026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026F6"/>
  </w:style>
  <w:style w:type="paragraph" w:styleId="Voettekst">
    <w:name w:val="footer"/>
    <w:basedOn w:val="Standaard"/>
    <w:link w:val="VoettekstChar"/>
    <w:uiPriority w:val="99"/>
    <w:unhideWhenUsed/>
    <w:rsid w:val="003026F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026F6"/>
  </w:style>
  <w:style w:type="paragraph" w:styleId="Kopvaninhoudsopgave">
    <w:name w:val="TOC Heading"/>
    <w:basedOn w:val="Kop1"/>
    <w:next w:val="Standaard"/>
    <w:uiPriority w:val="39"/>
    <w:unhideWhenUsed/>
    <w:qFormat/>
    <w:rsid w:val="00F13FE3"/>
    <w:pPr>
      <w:spacing w:before="480" w:after="0" w:line="276" w:lineRule="auto"/>
      <w:outlineLvl w:val="9"/>
    </w:pPr>
    <w:rPr>
      <w:rFonts w:asciiTheme="majorHAnsi" w:hAnsiTheme="majorHAnsi"/>
      <w:color w:val="365F91" w:themeColor="accent1" w:themeShade="BF"/>
      <w:sz w:val="28"/>
      <w:lang w:val="en-US" w:eastAsia="ja-JP"/>
    </w:rPr>
  </w:style>
  <w:style w:type="paragraph" w:styleId="Inhopg1">
    <w:name w:val="toc 1"/>
    <w:basedOn w:val="Standaard"/>
    <w:next w:val="Standaard"/>
    <w:autoRedefine/>
    <w:uiPriority w:val="39"/>
    <w:unhideWhenUsed/>
    <w:rsid w:val="00F13FE3"/>
    <w:pPr>
      <w:spacing w:after="100"/>
    </w:pPr>
  </w:style>
  <w:style w:type="paragraph" w:styleId="Inhopg2">
    <w:name w:val="toc 2"/>
    <w:basedOn w:val="Standaard"/>
    <w:next w:val="Standaard"/>
    <w:autoRedefine/>
    <w:uiPriority w:val="39"/>
    <w:unhideWhenUsed/>
    <w:rsid w:val="00F13FE3"/>
    <w:pPr>
      <w:spacing w:after="100"/>
      <w:ind w:left="170"/>
    </w:pPr>
  </w:style>
  <w:style w:type="paragraph" w:styleId="Titel">
    <w:name w:val="Title"/>
    <w:basedOn w:val="Standaard"/>
    <w:next w:val="Standaard"/>
    <w:link w:val="TitelChar"/>
    <w:uiPriority w:val="10"/>
    <w:qFormat/>
    <w:rsid w:val="0062283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838"/>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66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8176">
      <w:bodyDiv w:val="1"/>
      <w:marLeft w:val="0"/>
      <w:marRight w:val="0"/>
      <w:marTop w:val="0"/>
      <w:marBottom w:val="0"/>
      <w:divBdr>
        <w:top w:val="none" w:sz="0" w:space="0" w:color="auto"/>
        <w:left w:val="none" w:sz="0" w:space="0" w:color="auto"/>
        <w:bottom w:val="none" w:sz="0" w:space="0" w:color="auto"/>
        <w:right w:val="none" w:sz="0" w:space="0" w:color="auto"/>
      </w:divBdr>
    </w:div>
    <w:div w:id="503977193">
      <w:bodyDiv w:val="1"/>
      <w:marLeft w:val="0"/>
      <w:marRight w:val="0"/>
      <w:marTop w:val="0"/>
      <w:marBottom w:val="0"/>
      <w:divBdr>
        <w:top w:val="none" w:sz="0" w:space="0" w:color="auto"/>
        <w:left w:val="none" w:sz="0" w:space="0" w:color="auto"/>
        <w:bottom w:val="none" w:sz="0" w:space="0" w:color="auto"/>
        <w:right w:val="none" w:sz="0" w:space="0" w:color="auto"/>
      </w:divBdr>
    </w:div>
    <w:div w:id="18099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c.wur.nl/Handbook" TargetMode="External"/><Relationship Id="rId13" Type="http://schemas.openxmlformats.org/officeDocument/2006/relationships/hyperlink" Target="https://sharepoint.wur.nl/sites/evaluationsPaCE/SitePages/Home.aspx" TargetMode="External"/><Relationship Id="rId18" Type="http://schemas.openxmlformats.org/officeDocument/2006/relationships/hyperlink" Target="https://www.wur.nl/en/Education-Programmes/Current-Students/student-charter-2019-2020.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sc.wur.nl/Handbook" TargetMode="External"/><Relationship Id="rId17" Type="http://schemas.openxmlformats.org/officeDocument/2006/relationships/hyperlink" Target="https://www.wur.nl/en/Education-Programmes/Current-Students/student-charter-2019-2020.htm" TargetMode="External"/><Relationship Id="rId2" Type="http://schemas.openxmlformats.org/officeDocument/2006/relationships/numbering" Target="numbering.xml"/><Relationship Id="rId16" Type="http://schemas.openxmlformats.org/officeDocument/2006/relationships/hyperlink" Target="https://www.wur.nl/en/Education-Programmes/Current-Students/student-charter-2019-2020.htm" TargetMode="External"/><Relationship Id="rId20" Type="http://schemas.openxmlformats.org/officeDocument/2006/relationships/hyperlink" Target="https://www.wur.nl/en/Education-Programmes/master/Apply-for-a-Master-program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c.wur.nl/Studiegids" TargetMode="External"/><Relationship Id="rId5" Type="http://schemas.openxmlformats.org/officeDocument/2006/relationships/webSettings" Target="webSettings.xml"/><Relationship Id="rId15" Type="http://schemas.openxmlformats.org/officeDocument/2006/relationships/hyperlink" Target="https://www.wur.nl/upload_mm/9/d/4/e15dc062-6819-47ad-b892-a9623c5956ba_Infectiepreventiebeleid%20studenten%20EN.pdf" TargetMode="External"/><Relationship Id="rId23" Type="http://schemas.openxmlformats.org/officeDocument/2006/relationships/theme" Target="theme/theme1.xml"/><Relationship Id="rId10" Type="http://schemas.openxmlformats.org/officeDocument/2006/relationships/hyperlink" Target="https://www.wur.nl/en/Education-Programmes/Current-Students/student-charter-2019-2020.htm" TargetMode="External"/><Relationship Id="rId19" Type="http://schemas.openxmlformats.org/officeDocument/2006/relationships/hyperlink" Target="https://www.wur.nl/en/Education-Programmes/master/Apply-for-a-Master-programme.htm" TargetMode="External"/><Relationship Id="rId4" Type="http://schemas.openxmlformats.org/officeDocument/2006/relationships/settings" Target="settings.xml"/><Relationship Id="rId9" Type="http://schemas.openxmlformats.org/officeDocument/2006/relationships/hyperlink" Target="https://www.wur.nl/en/Education-Programmes/Current-Students/student-charter-2019-2020.htm" TargetMode="External"/><Relationship Id="rId14" Type="http://schemas.openxmlformats.org/officeDocument/2006/relationships/hyperlink" Target="https://www.wur.nl/upload_mm/9/d/4/e15dc062-6819-47ad-b892-a9623c5956ba_Infectiepreventiebeleid%20studenten%20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6825-7B4D-49C0-BD7E-1B8C0D28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25579C60.dotm</Template>
  <TotalTime>0</TotalTime>
  <Pages>18</Pages>
  <Words>7185</Words>
  <Characters>39522</Characters>
  <Application>Microsoft Office Word</Application>
  <DocSecurity>0</DocSecurity>
  <Lines>329</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46614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Nieuwenhuijzen, Nathalie van</cp:lastModifiedBy>
  <cp:revision>2</cp:revision>
  <cp:lastPrinted>2019-02-07T08:44:00Z</cp:lastPrinted>
  <dcterms:created xsi:type="dcterms:W3CDTF">2020-11-27T08:41:00Z</dcterms:created>
  <dcterms:modified xsi:type="dcterms:W3CDTF">2020-11-27T08:41:00Z</dcterms:modified>
</cp:coreProperties>
</file>