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E096" w14:textId="016C7468" w:rsidR="008B33B7" w:rsidRPr="00686501" w:rsidRDefault="00360A1A" w:rsidP="00686501">
      <w:pPr>
        <w:pStyle w:val="Title"/>
        <w:rPr>
          <w:rFonts w:ascii="Garamond" w:hAnsi="Garamond"/>
          <w:b/>
          <w:bCs/>
          <w:sz w:val="36"/>
          <w:szCs w:val="36"/>
        </w:rPr>
      </w:pPr>
      <w:r w:rsidRPr="00686501">
        <w:rPr>
          <w:rFonts w:ascii="Garamond" w:hAnsi="Garamond"/>
          <w:b/>
          <w:bCs/>
          <w:sz w:val="36"/>
          <w:szCs w:val="36"/>
        </w:rPr>
        <w:t>WIAS TSP Frequently Asked Questions</w:t>
      </w:r>
    </w:p>
    <w:p w14:paraId="71C09994" w14:textId="7777777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sz w:val="23"/>
          <w:szCs w:val="23"/>
          <w:lang w:val="en-GB"/>
        </w:rPr>
        <w:t xml:space="preserve"> </w:t>
      </w:r>
    </w:p>
    <w:p w14:paraId="04D0C0B9" w14:textId="77777777" w:rsidR="00360A1A" w:rsidRPr="00686501" w:rsidRDefault="00360A1A" w:rsidP="00360A1A">
      <w:pPr>
        <w:pStyle w:val="Default"/>
        <w:rPr>
          <w:rFonts w:ascii="Garamond" w:hAnsi="Garamond" w:cs="Raavi"/>
          <w:lang w:val="en-GB"/>
        </w:rPr>
      </w:pPr>
      <w:r w:rsidRPr="00686501">
        <w:rPr>
          <w:rFonts w:ascii="Garamond" w:hAnsi="Garamond" w:cs="Raavi"/>
          <w:b/>
          <w:bCs/>
          <w:lang w:val="en-GB"/>
        </w:rPr>
        <w:t>1. H</w:t>
      </w:r>
      <w:r w:rsidR="008B33B7" w:rsidRPr="00686501">
        <w:rPr>
          <w:rFonts w:ascii="Garamond" w:hAnsi="Garamond" w:cs="Raavi"/>
          <w:b/>
          <w:bCs/>
          <w:lang w:val="en-GB"/>
        </w:rPr>
        <w:t>ow to count credits for courses</w:t>
      </w:r>
      <w:r w:rsidRPr="00686501">
        <w:rPr>
          <w:rFonts w:ascii="Garamond" w:hAnsi="Garamond" w:cs="Raavi"/>
          <w:b/>
          <w:bCs/>
          <w:lang w:val="en-GB"/>
        </w:rPr>
        <w:t xml:space="preserve">? </w:t>
      </w:r>
    </w:p>
    <w:p w14:paraId="577E39B8" w14:textId="5FC2F8DB" w:rsidR="008B33B7" w:rsidRPr="00686501" w:rsidRDefault="00360A1A" w:rsidP="00360A1A">
      <w:pPr>
        <w:pStyle w:val="Default"/>
        <w:rPr>
          <w:rFonts w:ascii="Garamond" w:hAnsi="Garamond" w:cs="Raavi"/>
          <w:lang w:val="en-GB"/>
        </w:rPr>
      </w:pPr>
      <w:r w:rsidRPr="00686501">
        <w:rPr>
          <w:rFonts w:ascii="Garamond" w:hAnsi="Garamond" w:cs="Raavi"/>
          <w:lang w:val="en-GB"/>
        </w:rPr>
        <w:t xml:space="preserve">One ECTS credit </w:t>
      </w:r>
      <w:r w:rsidR="0081468B" w:rsidRPr="00686501">
        <w:rPr>
          <w:rFonts w:ascii="Garamond" w:hAnsi="Garamond" w:cs="Raavi"/>
          <w:lang w:val="en-GB"/>
        </w:rPr>
        <w:t xml:space="preserve">is </w:t>
      </w:r>
      <w:r w:rsidR="00BE3C07" w:rsidRPr="00686501">
        <w:rPr>
          <w:rFonts w:ascii="Garamond" w:hAnsi="Garamond" w:cs="Raavi"/>
          <w:lang w:val="en-GB"/>
        </w:rPr>
        <w:t xml:space="preserve">equivalent to </w:t>
      </w:r>
      <w:r w:rsidRPr="00686501">
        <w:rPr>
          <w:rFonts w:ascii="Garamond" w:hAnsi="Garamond" w:cs="Raavi"/>
          <w:lang w:val="en-GB"/>
        </w:rPr>
        <w:t xml:space="preserve">a study load of approximately 28 hours. </w:t>
      </w:r>
      <w:r w:rsidR="00A8583F" w:rsidRPr="00686501">
        <w:rPr>
          <w:rFonts w:ascii="Garamond" w:hAnsi="Garamond" w:cs="Raavi"/>
          <w:lang w:val="en-GB"/>
        </w:rPr>
        <w:t xml:space="preserve">Some courses have mandatory self-study or homework along with in-class activities and </w:t>
      </w:r>
      <w:r w:rsidR="00F53D5E" w:rsidRPr="00686501">
        <w:rPr>
          <w:rFonts w:ascii="Garamond" w:hAnsi="Garamond" w:cs="Raavi"/>
          <w:lang w:val="en-GB"/>
        </w:rPr>
        <w:t>the hours to be spent</w:t>
      </w:r>
      <w:r w:rsidR="00A8583F" w:rsidRPr="00686501">
        <w:rPr>
          <w:rFonts w:ascii="Garamond" w:hAnsi="Garamond" w:cs="Raavi"/>
          <w:lang w:val="en-GB"/>
        </w:rPr>
        <w:t xml:space="preserve"> can be seen on the course certificate or course advertisement. If there is mandatory homework, then the final ECTS for the course can </w:t>
      </w:r>
      <w:r w:rsidR="00BE3C07" w:rsidRPr="00686501">
        <w:rPr>
          <w:rFonts w:ascii="Garamond" w:hAnsi="Garamond" w:cs="Raavi"/>
          <w:lang w:val="en-GB"/>
        </w:rPr>
        <w:t>b</w:t>
      </w:r>
      <w:r w:rsidR="00A8583F" w:rsidRPr="00686501">
        <w:rPr>
          <w:rFonts w:ascii="Garamond" w:hAnsi="Garamond" w:cs="Raavi"/>
          <w:lang w:val="en-GB"/>
        </w:rPr>
        <w:t>e calculated by adding the mandatory homework hours and the in-class hours</w:t>
      </w:r>
      <w:r w:rsidR="00BE3C07" w:rsidRPr="00686501">
        <w:rPr>
          <w:rFonts w:ascii="Garamond" w:hAnsi="Garamond" w:cs="Raavi"/>
          <w:lang w:val="en-GB"/>
        </w:rPr>
        <w:t>.</w:t>
      </w:r>
      <w:r w:rsidR="00A8583F" w:rsidRPr="00686501">
        <w:rPr>
          <w:rFonts w:ascii="Garamond" w:hAnsi="Garamond" w:cs="Raavi"/>
          <w:lang w:val="en-GB"/>
        </w:rPr>
        <w:t xml:space="preserve"> Attending one day of in-class</w:t>
      </w:r>
      <w:r w:rsidR="008B33B7" w:rsidRPr="00686501">
        <w:rPr>
          <w:rFonts w:ascii="Garamond" w:hAnsi="Garamond" w:cs="Raavi"/>
          <w:lang w:val="en-GB"/>
        </w:rPr>
        <w:t xml:space="preserve"> </w:t>
      </w:r>
      <w:r w:rsidR="00A8583F" w:rsidRPr="00686501">
        <w:rPr>
          <w:rFonts w:ascii="Garamond" w:hAnsi="Garamond" w:cs="Raavi"/>
          <w:lang w:val="en-GB"/>
        </w:rPr>
        <w:t>activities</w:t>
      </w:r>
      <w:r w:rsidR="008B33B7" w:rsidRPr="00686501">
        <w:rPr>
          <w:rFonts w:ascii="Garamond" w:hAnsi="Garamond" w:cs="Raavi"/>
          <w:lang w:val="en-GB"/>
        </w:rPr>
        <w:t xml:space="preserve"> counts for 0.3 ECTS</w:t>
      </w:r>
      <w:r w:rsidRPr="00686501">
        <w:rPr>
          <w:rFonts w:ascii="Garamond" w:hAnsi="Garamond" w:cs="Raavi"/>
          <w:lang w:val="en-GB"/>
        </w:rPr>
        <w:t xml:space="preserve">. </w:t>
      </w:r>
    </w:p>
    <w:p w14:paraId="207930BF" w14:textId="77777777" w:rsidR="00360A1A" w:rsidRPr="00686501" w:rsidRDefault="00360A1A" w:rsidP="00360A1A">
      <w:pPr>
        <w:pStyle w:val="Default"/>
        <w:rPr>
          <w:rFonts w:ascii="Garamond" w:hAnsi="Garamond" w:cs="Raavi"/>
          <w:lang w:val="en-GB"/>
        </w:rPr>
      </w:pPr>
      <w:r w:rsidRPr="00686501">
        <w:rPr>
          <w:rFonts w:ascii="Garamond" w:hAnsi="Garamond" w:cs="Raavi"/>
          <w:lang w:val="en-GB"/>
        </w:rPr>
        <w:t xml:space="preserve"> </w:t>
      </w:r>
    </w:p>
    <w:p w14:paraId="644FCE40" w14:textId="7777777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 xml:space="preserve">2. Mandatory courses and waivers? </w:t>
      </w:r>
    </w:p>
    <w:p w14:paraId="64A8564C" w14:textId="05FE744A" w:rsidR="008B33B7" w:rsidRDefault="007F206B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A m</w:t>
      </w:r>
      <w:r w:rsidR="00360A1A" w:rsidRPr="00686501">
        <w:rPr>
          <w:rFonts w:ascii="Garamond" w:hAnsi="Garamond"/>
          <w:lang w:val="en-GB"/>
        </w:rPr>
        <w:t>andatory course can only be waived if the PhD candidate can pro</w:t>
      </w:r>
      <w:r w:rsidR="00BA31C2" w:rsidRPr="00686501">
        <w:rPr>
          <w:rFonts w:ascii="Garamond" w:hAnsi="Garamond"/>
          <w:lang w:val="en-GB"/>
        </w:rPr>
        <w:t>ve</w:t>
      </w:r>
      <w:r w:rsidR="00360A1A" w:rsidRPr="00686501">
        <w:rPr>
          <w:rFonts w:ascii="Garamond" w:hAnsi="Garamond"/>
          <w:lang w:val="en-GB"/>
        </w:rPr>
        <w:t xml:space="preserve"> that all the competences </w:t>
      </w:r>
      <w:r w:rsidRPr="00686501">
        <w:rPr>
          <w:rFonts w:ascii="Garamond" w:hAnsi="Garamond"/>
          <w:lang w:val="en-GB"/>
        </w:rPr>
        <w:t>to</w:t>
      </w:r>
      <w:r w:rsidR="00360A1A" w:rsidRPr="00686501">
        <w:rPr>
          <w:rFonts w:ascii="Garamond" w:hAnsi="Garamond"/>
          <w:lang w:val="en-GB"/>
        </w:rPr>
        <w:t xml:space="preserve"> be gained </w:t>
      </w:r>
      <w:r w:rsidRPr="00686501">
        <w:rPr>
          <w:rFonts w:ascii="Garamond" w:hAnsi="Garamond"/>
          <w:lang w:val="en-GB"/>
        </w:rPr>
        <w:t>from</w:t>
      </w:r>
      <w:r w:rsidR="00360A1A" w:rsidRPr="00686501">
        <w:rPr>
          <w:rFonts w:ascii="Garamond" w:hAnsi="Garamond"/>
          <w:lang w:val="en-GB"/>
        </w:rPr>
        <w:t xml:space="preserve"> the</w:t>
      </w:r>
      <w:r w:rsidRPr="00686501">
        <w:rPr>
          <w:rFonts w:ascii="Garamond" w:hAnsi="Garamond"/>
          <w:lang w:val="en-GB"/>
        </w:rPr>
        <w:t xml:space="preserve"> mandatory</w:t>
      </w:r>
      <w:r w:rsidR="00360A1A" w:rsidRPr="00686501">
        <w:rPr>
          <w:rFonts w:ascii="Garamond" w:hAnsi="Garamond"/>
          <w:lang w:val="en-GB"/>
        </w:rPr>
        <w:t xml:space="preserve"> course are already fulfilled </w:t>
      </w:r>
      <w:r w:rsidRPr="00686501">
        <w:rPr>
          <w:rFonts w:ascii="Garamond" w:hAnsi="Garamond"/>
          <w:lang w:val="en-GB"/>
        </w:rPr>
        <w:t>from</w:t>
      </w:r>
      <w:r w:rsidR="00360A1A" w:rsidRPr="00686501">
        <w:rPr>
          <w:rFonts w:ascii="Garamond" w:hAnsi="Garamond"/>
          <w:lang w:val="en-GB"/>
        </w:rPr>
        <w:t xml:space="preserve"> previous course</w:t>
      </w:r>
      <w:r w:rsidRPr="00686501">
        <w:rPr>
          <w:rFonts w:ascii="Garamond" w:hAnsi="Garamond"/>
          <w:lang w:val="en-GB"/>
        </w:rPr>
        <w:t>(</w:t>
      </w:r>
      <w:r w:rsidR="00360A1A" w:rsidRPr="00686501">
        <w:rPr>
          <w:rFonts w:ascii="Garamond" w:hAnsi="Garamond"/>
          <w:lang w:val="en-GB"/>
        </w:rPr>
        <w:t>s</w:t>
      </w:r>
      <w:r w:rsidRPr="00686501">
        <w:rPr>
          <w:rFonts w:ascii="Garamond" w:hAnsi="Garamond"/>
          <w:lang w:val="en-GB"/>
        </w:rPr>
        <w:t>)</w:t>
      </w:r>
      <w:r w:rsidR="00360A1A" w:rsidRPr="00686501">
        <w:rPr>
          <w:rFonts w:ascii="Garamond" w:hAnsi="Garamond"/>
          <w:lang w:val="en-GB"/>
        </w:rPr>
        <w:t xml:space="preserve"> or work experience</w:t>
      </w:r>
      <w:r w:rsidRPr="00686501">
        <w:rPr>
          <w:rFonts w:ascii="Garamond" w:hAnsi="Garamond"/>
          <w:lang w:val="en-GB"/>
        </w:rPr>
        <w:t>.</w:t>
      </w:r>
      <w:r w:rsidR="00360A1A" w:rsidRPr="00686501">
        <w:rPr>
          <w:rFonts w:ascii="Garamond" w:hAnsi="Garamond"/>
          <w:lang w:val="en-GB"/>
        </w:rPr>
        <w:t xml:space="preserve"> If a waiver is granted, </w:t>
      </w:r>
      <w:r w:rsidRPr="00686501">
        <w:rPr>
          <w:rFonts w:ascii="Garamond" w:hAnsi="Garamond"/>
          <w:lang w:val="en-GB"/>
        </w:rPr>
        <w:t>no</w:t>
      </w:r>
      <w:r w:rsidR="00360A1A" w:rsidRPr="00686501">
        <w:rPr>
          <w:rFonts w:ascii="Garamond" w:hAnsi="Garamond"/>
          <w:lang w:val="en-GB"/>
        </w:rPr>
        <w:t xml:space="preserve"> course credit </w:t>
      </w:r>
      <w:r w:rsidRPr="00686501">
        <w:rPr>
          <w:rFonts w:ascii="Garamond" w:hAnsi="Garamond"/>
          <w:lang w:val="en-GB"/>
        </w:rPr>
        <w:t>is</w:t>
      </w:r>
      <w:r w:rsidR="00360A1A" w:rsidRPr="00686501">
        <w:rPr>
          <w:rFonts w:ascii="Garamond" w:hAnsi="Garamond"/>
          <w:lang w:val="en-GB"/>
        </w:rPr>
        <w:t xml:space="preserve"> awarded</w:t>
      </w:r>
      <w:r w:rsidRPr="00686501">
        <w:rPr>
          <w:rFonts w:ascii="Garamond" w:hAnsi="Garamond"/>
          <w:lang w:val="en-GB"/>
        </w:rPr>
        <w:t>. However,</w:t>
      </w:r>
      <w:r w:rsidR="00360A1A" w:rsidRPr="00686501">
        <w:rPr>
          <w:rFonts w:ascii="Garamond" w:hAnsi="Garamond"/>
          <w:lang w:val="en-GB"/>
        </w:rPr>
        <w:t xml:space="preserve"> the TSP minimum requirement of 30 ECTS still applies. For more information contact the </w:t>
      </w:r>
      <w:r w:rsidRPr="00686501">
        <w:rPr>
          <w:rFonts w:ascii="Garamond" w:hAnsi="Garamond"/>
          <w:lang w:val="en-GB"/>
        </w:rPr>
        <w:t xml:space="preserve">WIAS </w:t>
      </w:r>
      <w:r w:rsidR="00360A1A" w:rsidRPr="00686501">
        <w:rPr>
          <w:rFonts w:ascii="Garamond" w:hAnsi="Garamond"/>
          <w:lang w:val="en-GB"/>
        </w:rPr>
        <w:t>education coordinator.</w:t>
      </w:r>
    </w:p>
    <w:p w14:paraId="0DBFF242" w14:textId="77777777" w:rsidR="004C3D1F" w:rsidRDefault="004C3D1F" w:rsidP="00360A1A">
      <w:pPr>
        <w:pStyle w:val="Default"/>
        <w:rPr>
          <w:rFonts w:ascii="Garamond" w:hAnsi="Garamond"/>
          <w:lang w:val="en-GB"/>
        </w:rPr>
      </w:pPr>
    </w:p>
    <w:p w14:paraId="0DD2C953" w14:textId="31CACAEC" w:rsidR="00906E6E" w:rsidRPr="00686501" w:rsidRDefault="00906E6E" w:rsidP="00906E6E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3</w:t>
      </w:r>
      <w:r w:rsidRPr="00686501">
        <w:rPr>
          <w:rFonts w:ascii="Garamond" w:hAnsi="Garamond"/>
          <w:b/>
          <w:bCs/>
          <w:lang w:val="en-GB"/>
        </w:rPr>
        <w:t xml:space="preserve">. </w:t>
      </w:r>
      <w:r>
        <w:rPr>
          <w:rFonts w:ascii="Garamond" w:hAnsi="Garamond"/>
          <w:b/>
          <w:bCs/>
          <w:lang w:val="en-GB"/>
        </w:rPr>
        <w:t>When do I take the m</w:t>
      </w:r>
      <w:r w:rsidRPr="00686501">
        <w:rPr>
          <w:rFonts w:ascii="Garamond" w:hAnsi="Garamond"/>
          <w:b/>
          <w:bCs/>
          <w:lang w:val="en-GB"/>
        </w:rPr>
        <w:t>andatory courses</w:t>
      </w:r>
      <w:r>
        <w:rPr>
          <w:rFonts w:ascii="Garamond" w:hAnsi="Garamond"/>
          <w:b/>
          <w:bCs/>
          <w:lang w:val="en-GB"/>
        </w:rPr>
        <w:t>?</w:t>
      </w:r>
      <w:r w:rsidRPr="00686501">
        <w:rPr>
          <w:rFonts w:ascii="Garamond" w:hAnsi="Garamond"/>
          <w:b/>
          <w:bCs/>
          <w:lang w:val="en-GB"/>
        </w:rPr>
        <w:t xml:space="preserve"> </w:t>
      </w:r>
    </w:p>
    <w:p w14:paraId="1F55F4D7" w14:textId="06ABD006" w:rsidR="004C3D1F" w:rsidRPr="004C3D1F" w:rsidRDefault="004C3D1F" w:rsidP="00671547">
      <w:pPr>
        <w:pStyle w:val="Default"/>
        <w:ind w:left="720" w:hanging="720"/>
        <w:rPr>
          <w:rFonts w:ascii="Garamond" w:hAnsi="Garamond"/>
          <w:lang w:val="en-GB"/>
        </w:rPr>
      </w:pPr>
      <w:r w:rsidRPr="004C3D1F">
        <w:rPr>
          <w:rFonts w:ascii="Garamond" w:hAnsi="Garamond"/>
          <w:lang w:val="en-GB"/>
        </w:rPr>
        <w:t>•</w:t>
      </w:r>
      <w:r>
        <w:rPr>
          <w:rFonts w:ascii="Garamond" w:hAnsi="Garamond"/>
          <w:lang w:val="en-GB"/>
        </w:rPr>
        <w:t xml:space="preserve"> </w:t>
      </w:r>
      <w:r w:rsidR="00671547">
        <w:rPr>
          <w:rFonts w:ascii="Garamond" w:hAnsi="Garamond"/>
          <w:lang w:val="en-GB"/>
        </w:rPr>
        <w:tab/>
      </w:r>
      <w:r w:rsidRPr="00671547">
        <w:rPr>
          <w:rFonts w:ascii="Garamond" w:hAnsi="Garamond"/>
          <w:b/>
          <w:bCs/>
          <w:lang w:val="en-GB"/>
        </w:rPr>
        <w:t>The WIAS Introduction Day (mandatory)</w:t>
      </w:r>
      <w:r w:rsidR="00671547">
        <w:rPr>
          <w:rFonts w:ascii="Garamond" w:hAnsi="Garamond"/>
          <w:b/>
          <w:bCs/>
          <w:lang w:val="en-GB"/>
        </w:rPr>
        <w:t>:</w:t>
      </w:r>
      <w:r>
        <w:rPr>
          <w:rFonts w:ascii="Garamond" w:hAnsi="Garamond"/>
          <w:lang w:val="en-GB"/>
        </w:rPr>
        <w:t xml:space="preserve"> This is an in-person course. You are </w:t>
      </w:r>
      <w:r w:rsidR="00A43E86">
        <w:rPr>
          <w:rFonts w:ascii="Garamond" w:hAnsi="Garamond"/>
          <w:lang w:val="en-GB"/>
        </w:rPr>
        <w:t>strongly recommended</w:t>
      </w:r>
      <w:r>
        <w:rPr>
          <w:rFonts w:ascii="Garamond" w:hAnsi="Garamond"/>
          <w:lang w:val="en-GB"/>
        </w:rPr>
        <w:t xml:space="preserve"> to </w:t>
      </w:r>
      <w:r w:rsidR="00E27693">
        <w:rPr>
          <w:rFonts w:ascii="Garamond" w:hAnsi="Garamond"/>
          <w:lang w:val="en-GB"/>
        </w:rPr>
        <w:t>take next</w:t>
      </w:r>
      <w:r>
        <w:rPr>
          <w:rFonts w:ascii="Garamond" w:hAnsi="Garamond"/>
          <w:lang w:val="en-GB"/>
        </w:rPr>
        <w:t xml:space="preserve"> available course after the start of your PhD. If you are not </w:t>
      </w:r>
      <w:r w:rsidR="00671547">
        <w:rPr>
          <w:rFonts w:ascii="Garamond" w:hAnsi="Garamond"/>
          <w:lang w:val="en-GB"/>
        </w:rPr>
        <w:t xml:space="preserve">based in </w:t>
      </w:r>
      <w:r>
        <w:rPr>
          <w:rFonts w:ascii="Garamond" w:hAnsi="Garamond"/>
          <w:lang w:val="en-GB"/>
        </w:rPr>
        <w:t>the Netherlands at the start of your PhD, you are expected to take the next available course</w:t>
      </w:r>
      <w:r w:rsidR="00671547">
        <w:rPr>
          <w:rFonts w:ascii="Garamond" w:hAnsi="Garamond"/>
          <w:lang w:val="en-GB"/>
        </w:rPr>
        <w:t xml:space="preserve"> after you arrive in the Netherlands.</w:t>
      </w:r>
    </w:p>
    <w:p w14:paraId="408F9D75" w14:textId="0C9F37C3" w:rsidR="004C3D1F" w:rsidRPr="004C3D1F" w:rsidRDefault="004C3D1F" w:rsidP="00671547">
      <w:pPr>
        <w:pStyle w:val="Default"/>
        <w:ind w:left="720" w:hanging="720"/>
        <w:rPr>
          <w:rFonts w:ascii="Garamond" w:hAnsi="Garamond"/>
          <w:lang w:val="en-GB"/>
        </w:rPr>
      </w:pPr>
      <w:r w:rsidRPr="004C3D1F">
        <w:rPr>
          <w:rFonts w:ascii="Garamond" w:hAnsi="Garamond"/>
          <w:lang w:val="en-GB"/>
        </w:rPr>
        <w:t>•</w:t>
      </w:r>
      <w:r w:rsidRPr="004C3D1F">
        <w:rPr>
          <w:rFonts w:ascii="Garamond" w:hAnsi="Garamond"/>
          <w:lang w:val="en-GB"/>
        </w:rPr>
        <w:tab/>
      </w:r>
      <w:r w:rsidRPr="00671547">
        <w:rPr>
          <w:rFonts w:ascii="Garamond" w:hAnsi="Garamond"/>
          <w:b/>
          <w:bCs/>
          <w:lang w:val="en-GB"/>
        </w:rPr>
        <w:t>A course on Scientific Integrity (mandatory)</w:t>
      </w:r>
      <w:r w:rsidR="00671547" w:rsidRPr="00671547">
        <w:rPr>
          <w:rFonts w:ascii="Garamond" w:hAnsi="Garamond"/>
          <w:b/>
          <w:bCs/>
          <w:lang w:val="en-GB"/>
        </w:rPr>
        <w:t>:</w:t>
      </w:r>
      <w:r w:rsidR="00671547">
        <w:rPr>
          <w:rFonts w:ascii="Garamond" w:hAnsi="Garamond"/>
          <w:lang w:val="en-GB"/>
        </w:rPr>
        <w:t xml:space="preserve"> There are in-person and online versions of this course. You are expected to take this course within the first year of your PhD.</w:t>
      </w:r>
    </w:p>
    <w:p w14:paraId="5B888D7C" w14:textId="20A8B5E6" w:rsidR="00671547" w:rsidRDefault="004C3D1F" w:rsidP="00671547">
      <w:pPr>
        <w:pStyle w:val="Default"/>
        <w:ind w:left="720" w:hanging="720"/>
        <w:rPr>
          <w:rFonts w:ascii="Garamond" w:hAnsi="Garamond"/>
          <w:lang w:val="en-GB"/>
        </w:rPr>
      </w:pPr>
      <w:r w:rsidRPr="004C3D1F">
        <w:rPr>
          <w:rFonts w:ascii="Garamond" w:hAnsi="Garamond"/>
          <w:lang w:val="en-GB"/>
        </w:rPr>
        <w:t>•</w:t>
      </w:r>
      <w:r w:rsidRPr="004C3D1F">
        <w:rPr>
          <w:rFonts w:ascii="Garamond" w:hAnsi="Garamond"/>
          <w:lang w:val="en-GB"/>
        </w:rPr>
        <w:tab/>
      </w:r>
      <w:r w:rsidRPr="00671547">
        <w:rPr>
          <w:rFonts w:ascii="Garamond" w:hAnsi="Garamond"/>
          <w:b/>
          <w:bCs/>
          <w:lang w:val="en-GB"/>
        </w:rPr>
        <w:t>An Ethics course (mandatory)</w:t>
      </w:r>
      <w:r w:rsidR="00671547" w:rsidRPr="00671547">
        <w:rPr>
          <w:rFonts w:ascii="Garamond" w:hAnsi="Garamond"/>
          <w:b/>
          <w:bCs/>
          <w:lang w:val="en-GB"/>
        </w:rPr>
        <w:t>:</w:t>
      </w:r>
      <w:r w:rsidRPr="004C3D1F">
        <w:rPr>
          <w:rFonts w:ascii="Garamond" w:hAnsi="Garamond"/>
          <w:lang w:val="en-GB"/>
        </w:rPr>
        <w:t xml:space="preserve"> </w:t>
      </w:r>
      <w:r w:rsidR="00671547">
        <w:rPr>
          <w:rFonts w:ascii="Garamond" w:hAnsi="Garamond"/>
          <w:lang w:val="en-GB"/>
        </w:rPr>
        <w:t>There are in-person and online versions of this course. You are expected to take this course within the first year of your PhD.</w:t>
      </w:r>
    </w:p>
    <w:p w14:paraId="290394C7" w14:textId="0BFBF23C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 </w:t>
      </w:r>
    </w:p>
    <w:p w14:paraId="33DC70EB" w14:textId="7D1873DE" w:rsidR="00291FB4" w:rsidRDefault="00906E6E" w:rsidP="00360A1A">
      <w:pPr>
        <w:pStyle w:val="Default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4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291FB4">
        <w:rPr>
          <w:rFonts w:ascii="Garamond" w:hAnsi="Garamond"/>
          <w:b/>
          <w:bCs/>
          <w:lang w:val="en-GB"/>
        </w:rPr>
        <w:t>When do I take the recommended courses in the Basic Package</w:t>
      </w:r>
    </w:p>
    <w:p w14:paraId="2950B334" w14:textId="27F35D5F" w:rsidR="003446BA" w:rsidRDefault="003446BA" w:rsidP="003446BA">
      <w:pPr>
        <w:pStyle w:val="Default"/>
        <w:rPr>
          <w:rFonts w:ascii="Garamond" w:hAnsi="Garamond"/>
          <w:lang w:val="en-GB"/>
        </w:rPr>
      </w:pPr>
      <w:r w:rsidRPr="003446BA">
        <w:rPr>
          <w:rFonts w:ascii="Garamond" w:hAnsi="Garamond"/>
          <w:lang w:val="en-GB"/>
        </w:rPr>
        <w:t xml:space="preserve">We </w:t>
      </w:r>
      <w:r>
        <w:rPr>
          <w:rFonts w:ascii="Garamond" w:hAnsi="Garamond"/>
          <w:lang w:val="en-GB"/>
        </w:rPr>
        <w:t xml:space="preserve">strongly </w:t>
      </w:r>
      <w:r w:rsidRPr="003446BA">
        <w:rPr>
          <w:rFonts w:ascii="Garamond" w:hAnsi="Garamond"/>
          <w:lang w:val="en-GB"/>
        </w:rPr>
        <w:t>recommend that you</w:t>
      </w:r>
      <w:r w:rsidR="004A5FE3">
        <w:rPr>
          <w:rFonts w:ascii="Garamond" w:hAnsi="Garamond"/>
          <w:lang w:val="en-GB"/>
        </w:rPr>
        <w:t xml:space="preserve"> take a</w:t>
      </w:r>
      <w:r w:rsidRPr="003446BA">
        <w:rPr>
          <w:rFonts w:ascii="Garamond" w:hAnsi="Garamond"/>
          <w:lang w:val="en-GB"/>
        </w:rPr>
        <w:t xml:space="preserve"> course on personal effectiveness during the first year of your PhD trajectory. Such a course should address topics like PhD/supervisor</w:t>
      </w:r>
      <w:r w:rsidRPr="003446BA">
        <w:rPr>
          <w:rFonts w:ascii="Garamond" w:hAnsi="Garamond"/>
          <w:b/>
          <w:bCs/>
          <w:lang w:val="en-GB"/>
        </w:rPr>
        <w:t xml:space="preserve"> </w:t>
      </w:r>
      <w:r w:rsidRPr="003446BA">
        <w:rPr>
          <w:rFonts w:ascii="Garamond" w:hAnsi="Garamond"/>
          <w:lang w:val="en-GB"/>
        </w:rPr>
        <w:t>communication, e.g. WIAS Introduction course on Personal Effectiveness for your PhD</w:t>
      </w:r>
      <w:r w:rsidR="004A5FE3">
        <w:rPr>
          <w:rFonts w:ascii="Garamond" w:hAnsi="Garamond"/>
          <w:lang w:val="en-GB"/>
        </w:rPr>
        <w:t>.</w:t>
      </w:r>
    </w:p>
    <w:p w14:paraId="3E51C2CE" w14:textId="77777777" w:rsidR="004A5FE3" w:rsidRPr="003446BA" w:rsidRDefault="004A5FE3" w:rsidP="003446BA">
      <w:pPr>
        <w:pStyle w:val="Default"/>
        <w:rPr>
          <w:rFonts w:ascii="Garamond" w:hAnsi="Garamond"/>
          <w:b/>
          <w:bCs/>
          <w:lang w:val="en-GB"/>
        </w:rPr>
      </w:pPr>
    </w:p>
    <w:p w14:paraId="2E21F9B8" w14:textId="704C6EE5" w:rsidR="003446BA" w:rsidRPr="004A5FE3" w:rsidRDefault="004A5FE3" w:rsidP="003446B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5</w:t>
      </w:r>
      <w:r w:rsidR="003446BA" w:rsidRPr="003446BA">
        <w:rPr>
          <w:rFonts w:ascii="Garamond" w:hAnsi="Garamond"/>
          <w:b/>
          <w:bCs/>
          <w:lang w:val="en-GB"/>
        </w:rPr>
        <w:t>.</w:t>
      </w:r>
      <w:r w:rsidR="00970E94">
        <w:rPr>
          <w:rFonts w:ascii="Garamond" w:hAnsi="Garamond"/>
          <w:b/>
          <w:bCs/>
          <w:lang w:val="en-GB"/>
        </w:rPr>
        <w:t xml:space="preserve"> </w:t>
      </w:r>
      <w:r w:rsidR="003446BA" w:rsidRPr="003446BA">
        <w:rPr>
          <w:rFonts w:ascii="Garamond" w:hAnsi="Garamond"/>
          <w:b/>
          <w:bCs/>
          <w:lang w:val="en-GB"/>
        </w:rPr>
        <w:t xml:space="preserve">WIAS Midterm Reflection course: </w:t>
      </w:r>
      <w:r>
        <w:rPr>
          <w:rFonts w:ascii="Garamond" w:hAnsi="Garamond"/>
          <w:lang w:val="en-GB"/>
        </w:rPr>
        <w:t>W</w:t>
      </w:r>
      <w:r w:rsidR="003446BA" w:rsidRPr="004A5FE3">
        <w:rPr>
          <w:rFonts w:ascii="Garamond" w:hAnsi="Garamond"/>
          <w:lang w:val="en-GB"/>
        </w:rPr>
        <w:t xml:space="preserve">e strongly recommend you take </w:t>
      </w:r>
      <w:r>
        <w:rPr>
          <w:rFonts w:ascii="Garamond" w:hAnsi="Garamond"/>
          <w:lang w:val="en-GB"/>
        </w:rPr>
        <w:t xml:space="preserve">this </w:t>
      </w:r>
      <w:r w:rsidR="00F34D1E">
        <w:rPr>
          <w:rFonts w:ascii="Garamond" w:hAnsi="Garamond"/>
          <w:lang w:val="en-GB"/>
        </w:rPr>
        <w:t xml:space="preserve">in-person </w:t>
      </w:r>
      <w:r>
        <w:rPr>
          <w:rFonts w:ascii="Garamond" w:hAnsi="Garamond"/>
          <w:lang w:val="en-GB"/>
        </w:rPr>
        <w:t xml:space="preserve">course </w:t>
      </w:r>
      <w:r w:rsidR="003446BA" w:rsidRPr="004A5FE3">
        <w:rPr>
          <w:rFonts w:ascii="Garamond" w:hAnsi="Garamond"/>
          <w:lang w:val="en-GB"/>
        </w:rPr>
        <w:t>at the end of your second year or the begin of your third year.</w:t>
      </w:r>
    </w:p>
    <w:p w14:paraId="1CE855AA" w14:textId="77777777" w:rsidR="004A5FE3" w:rsidRDefault="004A5FE3" w:rsidP="00360A1A">
      <w:pPr>
        <w:pStyle w:val="Default"/>
        <w:rPr>
          <w:rFonts w:ascii="Garamond" w:hAnsi="Garamond"/>
          <w:b/>
          <w:bCs/>
          <w:lang w:val="en-GB"/>
        </w:rPr>
      </w:pPr>
    </w:p>
    <w:p w14:paraId="096F50BE" w14:textId="6ADF8B1A" w:rsidR="00360A1A" w:rsidRPr="00686501" w:rsidRDefault="004A5FE3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6</w:t>
      </w:r>
      <w:r w:rsidR="007E7E49">
        <w:rPr>
          <w:rFonts w:ascii="Garamond" w:hAnsi="Garamond"/>
          <w:b/>
          <w:bCs/>
          <w:lang w:val="en-GB"/>
        </w:rPr>
        <w:t xml:space="preserve">. </w:t>
      </w:r>
      <w:r w:rsidR="00360A1A" w:rsidRPr="00686501">
        <w:rPr>
          <w:rFonts w:ascii="Garamond" w:hAnsi="Garamond"/>
          <w:b/>
          <w:bCs/>
          <w:lang w:val="en-GB"/>
        </w:rPr>
        <w:t xml:space="preserve">Can previous education count on the TSP? </w:t>
      </w:r>
    </w:p>
    <w:p w14:paraId="0E793037" w14:textId="1E14C370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PhD candidates </w:t>
      </w:r>
      <w:r w:rsidR="00DD59AF" w:rsidRPr="00686501">
        <w:rPr>
          <w:rFonts w:ascii="Garamond" w:hAnsi="Garamond"/>
          <w:lang w:val="en-GB"/>
        </w:rPr>
        <w:t xml:space="preserve">who do not start their PhD </w:t>
      </w:r>
      <w:r w:rsidR="004354EF" w:rsidRPr="00686501">
        <w:rPr>
          <w:rFonts w:ascii="Garamond" w:hAnsi="Garamond"/>
          <w:lang w:val="en-GB"/>
        </w:rPr>
        <w:t>trajectory</w:t>
      </w:r>
      <w:r w:rsidR="00DD59AF" w:rsidRPr="00686501">
        <w:rPr>
          <w:rFonts w:ascii="Garamond" w:hAnsi="Garamond"/>
          <w:lang w:val="en-GB"/>
        </w:rPr>
        <w:t xml:space="preserve"> directly after their </w:t>
      </w:r>
      <w:r w:rsidRPr="00686501">
        <w:rPr>
          <w:rFonts w:ascii="Garamond" w:hAnsi="Garamond"/>
          <w:lang w:val="en-GB"/>
        </w:rPr>
        <w:t xml:space="preserve">MSc graduation may have done </w:t>
      </w:r>
      <w:r w:rsidR="00DD59AF" w:rsidRPr="00686501">
        <w:rPr>
          <w:rFonts w:ascii="Garamond" w:hAnsi="Garamond"/>
          <w:lang w:val="en-GB"/>
        </w:rPr>
        <w:t>some courses that are relevant to their TSP</w:t>
      </w:r>
      <w:r w:rsidRPr="00686501">
        <w:rPr>
          <w:rFonts w:ascii="Garamond" w:hAnsi="Garamond"/>
          <w:lang w:val="en-GB"/>
        </w:rPr>
        <w:t xml:space="preserve">. </w:t>
      </w:r>
      <w:r w:rsidR="00DD59AF" w:rsidRPr="00686501">
        <w:rPr>
          <w:rFonts w:ascii="Garamond" w:hAnsi="Garamond"/>
          <w:lang w:val="en-GB"/>
        </w:rPr>
        <w:t>A</w:t>
      </w:r>
      <w:r w:rsidRPr="00686501">
        <w:rPr>
          <w:rFonts w:ascii="Garamond" w:hAnsi="Garamond"/>
          <w:lang w:val="en-GB"/>
        </w:rPr>
        <w:t xml:space="preserve"> maximum of 10 ECTS</w:t>
      </w:r>
      <w:r w:rsidR="00DD59AF" w:rsidRPr="00686501">
        <w:rPr>
          <w:rFonts w:ascii="Garamond" w:hAnsi="Garamond"/>
          <w:lang w:val="en-GB"/>
        </w:rPr>
        <w:t xml:space="preserve"> can be transferred </w:t>
      </w:r>
      <w:r w:rsidR="0025576A" w:rsidRPr="00686501">
        <w:rPr>
          <w:rFonts w:ascii="Garamond" w:hAnsi="Garamond"/>
          <w:lang w:val="en-GB"/>
        </w:rPr>
        <w:t>if</w:t>
      </w:r>
      <w:r w:rsidR="00DD59AF" w:rsidRPr="00686501">
        <w:rPr>
          <w:rFonts w:ascii="Garamond" w:hAnsi="Garamond"/>
          <w:lang w:val="en-GB"/>
        </w:rPr>
        <w:t xml:space="preserve"> there is proof (certificates)</w:t>
      </w:r>
      <w:r w:rsidR="007F58C0" w:rsidRPr="00686501">
        <w:rPr>
          <w:rFonts w:ascii="Garamond" w:hAnsi="Garamond"/>
          <w:lang w:val="en-GB"/>
        </w:rPr>
        <w:t xml:space="preserve">, the training is </w:t>
      </w:r>
      <w:r w:rsidR="008B207A" w:rsidRPr="00686501">
        <w:rPr>
          <w:rFonts w:ascii="Garamond" w:hAnsi="Garamond"/>
          <w:lang w:val="en-GB"/>
        </w:rPr>
        <w:t>completed after the MSc graduation</w:t>
      </w:r>
      <w:r w:rsidR="007F58C0" w:rsidRPr="00686501">
        <w:rPr>
          <w:rFonts w:ascii="Garamond" w:hAnsi="Garamond"/>
          <w:lang w:val="en-GB"/>
        </w:rPr>
        <w:t>, and the training is relevant to the learning goals</w:t>
      </w:r>
      <w:r w:rsidRPr="00686501">
        <w:rPr>
          <w:rFonts w:ascii="Garamond" w:hAnsi="Garamond"/>
          <w:lang w:val="en-GB"/>
        </w:rPr>
        <w:t xml:space="preserve">. </w:t>
      </w:r>
      <w:r w:rsidR="008B207A" w:rsidRPr="00686501">
        <w:rPr>
          <w:rFonts w:ascii="Garamond" w:hAnsi="Garamond"/>
          <w:lang w:val="en-GB"/>
        </w:rPr>
        <w:t>For more information</w:t>
      </w:r>
      <w:r w:rsidR="005019E5">
        <w:rPr>
          <w:rFonts w:ascii="Garamond" w:hAnsi="Garamond"/>
          <w:lang w:val="en-GB"/>
        </w:rPr>
        <w:t>,</w:t>
      </w:r>
      <w:r w:rsidR="008B207A" w:rsidRPr="00686501">
        <w:rPr>
          <w:rFonts w:ascii="Garamond" w:hAnsi="Garamond"/>
          <w:lang w:val="en-GB"/>
        </w:rPr>
        <w:t xml:space="preserve"> contact the WIAS education coordinator.</w:t>
      </w:r>
    </w:p>
    <w:p w14:paraId="5A3B6161" w14:textId="77777777" w:rsidR="008B33B7" w:rsidRPr="00686501" w:rsidRDefault="008B33B7" w:rsidP="00360A1A">
      <w:pPr>
        <w:pStyle w:val="Default"/>
        <w:rPr>
          <w:rFonts w:ascii="Garamond" w:hAnsi="Garamond"/>
          <w:lang w:val="en-GB"/>
        </w:rPr>
      </w:pPr>
    </w:p>
    <w:p w14:paraId="3313B74E" w14:textId="61D933C1" w:rsidR="00360A1A" w:rsidRPr="00686501" w:rsidRDefault="002B6C70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7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34228A" w:rsidRPr="00686501">
        <w:rPr>
          <w:rFonts w:ascii="Garamond" w:hAnsi="Garamond"/>
          <w:b/>
          <w:bCs/>
          <w:lang w:val="en-GB"/>
        </w:rPr>
        <w:t xml:space="preserve">What do I do if </w:t>
      </w:r>
      <w:r w:rsidR="00721FD4" w:rsidRPr="00686501">
        <w:rPr>
          <w:rFonts w:ascii="Garamond" w:hAnsi="Garamond"/>
          <w:b/>
          <w:bCs/>
          <w:lang w:val="en-GB"/>
        </w:rPr>
        <w:t xml:space="preserve">I </w:t>
      </w:r>
      <w:r w:rsidR="0034228A" w:rsidRPr="00686501">
        <w:rPr>
          <w:rFonts w:ascii="Garamond" w:hAnsi="Garamond"/>
          <w:b/>
          <w:bCs/>
          <w:lang w:val="en-GB"/>
        </w:rPr>
        <w:t>can</w:t>
      </w:r>
      <w:r w:rsidR="00721FD4" w:rsidRPr="00686501">
        <w:rPr>
          <w:rFonts w:ascii="Garamond" w:hAnsi="Garamond"/>
          <w:b/>
          <w:bCs/>
          <w:lang w:val="en-GB"/>
        </w:rPr>
        <w:t>not f</w:t>
      </w:r>
      <w:r w:rsidR="0034228A" w:rsidRPr="00686501">
        <w:rPr>
          <w:rFonts w:ascii="Garamond" w:hAnsi="Garamond"/>
          <w:b/>
          <w:bCs/>
          <w:lang w:val="en-GB"/>
        </w:rPr>
        <w:t>ind a</w:t>
      </w:r>
      <w:r w:rsidR="00721FD4" w:rsidRPr="00686501">
        <w:rPr>
          <w:rFonts w:ascii="Garamond" w:hAnsi="Garamond"/>
          <w:b/>
          <w:bCs/>
          <w:lang w:val="en-GB"/>
        </w:rPr>
        <w:t xml:space="preserve"> specific course I would like to take</w:t>
      </w:r>
      <w:r w:rsidR="00AB4AF7" w:rsidRPr="00686501">
        <w:rPr>
          <w:rFonts w:ascii="Garamond" w:hAnsi="Garamond"/>
          <w:b/>
          <w:bCs/>
          <w:lang w:val="en-GB"/>
        </w:rPr>
        <w:t>?</w:t>
      </w:r>
      <w:r w:rsidR="00360A1A" w:rsidRPr="00686501">
        <w:rPr>
          <w:rFonts w:ascii="Garamond" w:hAnsi="Garamond"/>
          <w:b/>
          <w:bCs/>
          <w:lang w:val="en-GB"/>
        </w:rPr>
        <w:t xml:space="preserve"> </w:t>
      </w:r>
    </w:p>
    <w:p w14:paraId="166C08D9" w14:textId="525A17F7" w:rsidR="00360A1A" w:rsidRDefault="0034228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Before you submit your first TSP, it is important that you spend time defining your learning goals. </w:t>
      </w:r>
      <w:r w:rsidR="00324485" w:rsidRPr="00686501">
        <w:rPr>
          <w:rFonts w:ascii="Garamond" w:hAnsi="Garamond"/>
          <w:lang w:val="en-GB"/>
        </w:rPr>
        <w:t>Based on</w:t>
      </w:r>
      <w:r w:rsidRPr="00686501">
        <w:rPr>
          <w:rFonts w:ascii="Garamond" w:hAnsi="Garamond"/>
          <w:lang w:val="en-GB"/>
        </w:rPr>
        <w:t xml:space="preserve"> these learning goals, you can select relevant courses from the sites mentioned in question </w:t>
      </w:r>
      <w:r w:rsidR="002B6C70">
        <w:rPr>
          <w:rFonts w:ascii="Garamond" w:hAnsi="Garamond"/>
          <w:lang w:val="en-GB"/>
        </w:rPr>
        <w:t>8</w:t>
      </w:r>
      <w:r w:rsidRPr="00686501">
        <w:rPr>
          <w:rFonts w:ascii="Garamond" w:hAnsi="Garamond"/>
          <w:lang w:val="en-GB"/>
        </w:rPr>
        <w:t xml:space="preserve">. </w:t>
      </w:r>
      <w:r w:rsidR="00DE2B89" w:rsidRPr="00686501">
        <w:rPr>
          <w:rFonts w:ascii="Garamond" w:hAnsi="Garamond"/>
          <w:lang w:val="en-GB"/>
        </w:rPr>
        <w:t xml:space="preserve">If you cannot yet find specific information </w:t>
      </w:r>
      <w:r w:rsidRPr="00686501">
        <w:rPr>
          <w:rFonts w:ascii="Garamond" w:hAnsi="Garamond"/>
          <w:lang w:val="en-GB"/>
        </w:rPr>
        <w:t>on</w:t>
      </w:r>
      <w:r w:rsidR="00DE2B89" w:rsidRPr="00686501">
        <w:rPr>
          <w:rFonts w:ascii="Garamond" w:hAnsi="Garamond"/>
          <w:lang w:val="en-GB"/>
        </w:rPr>
        <w:t xml:space="preserve"> a course, you can mention in as much detail as possible, the type of course you would like to take and subject area(s) this course will address. </w:t>
      </w:r>
      <w:r w:rsidR="00721FD4" w:rsidRPr="00686501">
        <w:rPr>
          <w:rFonts w:ascii="Garamond" w:hAnsi="Garamond"/>
          <w:lang w:val="en-GB"/>
        </w:rPr>
        <w:t xml:space="preserve">You </w:t>
      </w:r>
      <w:r w:rsidR="00AB4AF7" w:rsidRPr="00686501">
        <w:rPr>
          <w:rFonts w:ascii="Garamond" w:hAnsi="Garamond"/>
          <w:lang w:val="en-GB"/>
        </w:rPr>
        <w:t>should</w:t>
      </w:r>
      <w:r w:rsidR="00721FD4" w:rsidRPr="00686501">
        <w:rPr>
          <w:rFonts w:ascii="Garamond" w:hAnsi="Garamond"/>
          <w:lang w:val="en-GB"/>
        </w:rPr>
        <w:t xml:space="preserve"> update your TSP once more information </w:t>
      </w:r>
      <w:r w:rsidR="0089511E">
        <w:rPr>
          <w:rFonts w:ascii="Garamond" w:hAnsi="Garamond"/>
          <w:lang w:val="en-GB"/>
        </w:rPr>
        <w:t xml:space="preserve">is </w:t>
      </w:r>
      <w:r w:rsidR="00721FD4" w:rsidRPr="00686501">
        <w:rPr>
          <w:rFonts w:ascii="Garamond" w:hAnsi="Garamond"/>
          <w:lang w:val="en-GB"/>
        </w:rPr>
        <w:t>known</w:t>
      </w:r>
      <w:r w:rsidR="00B4725D">
        <w:rPr>
          <w:rFonts w:ascii="Garamond" w:hAnsi="Garamond"/>
          <w:lang w:val="en-GB"/>
        </w:rPr>
        <w:t xml:space="preserve"> about the course</w:t>
      </w:r>
      <w:r w:rsidR="00721FD4" w:rsidRPr="00686501">
        <w:rPr>
          <w:rFonts w:ascii="Garamond" w:hAnsi="Garamond"/>
          <w:lang w:val="en-GB"/>
        </w:rPr>
        <w:t>.</w:t>
      </w:r>
      <w:r w:rsidR="00360A1A" w:rsidRPr="00686501">
        <w:rPr>
          <w:rFonts w:ascii="Garamond" w:hAnsi="Garamond"/>
          <w:lang w:val="en-GB"/>
        </w:rPr>
        <w:t xml:space="preserve"> </w:t>
      </w:r>
    </w:p>
    <w:p w14:paraId="65562D1A" w14:textId="77777777" w:rsidR="00FA509A" w:rsidRPr="00686501" w:rsidRDefault="00FA509A" w:rsidP="00360A1A">
      <w:pPr>
        <w:pStyle w:val="Default"/>
        <w:rPr>
          <w:rFonts w:ascii="Garamond" w:hAnsi="Garamond"/>
          <w:lang w:val="en-GB"/>
        </w:rPr>
      </w:pPr>
    </w:p>
    <w:p w14:paraId="499C3AAF" w14:textId="77777777" w:rsidR="008B33B7" w:rsidRPr="00686501" w:rsidRDefault="008B33B7" w:rsidP="00360A1A">
      <w:pPr>
        <w:pStyle w:val="Default"/>
        <w:rPr>
          <w:rFonts w:ascii="Garamond" w:hAnsi="Garamond"/>
          <w:lang w:val="en-GB"/>
        </w:rPr>
      </w:pPr>
    </w:p>
    <w:p w14:paraId="09841ADA" w14:textId="69220EEC" w:rsidR="00360A1A" w:rsidRPr="00686501" w:rsidRDefault="002B6C70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8</w:t>
      </w:r>
      <w:r w:rsidR="00360A1A" w:rsidRPr="00686501">
        <w:rPr>
          <w:rFonts w:ascii="Garamond" w:hAnsi="Garamond"/>
          <w:b/>
          <w:bCs/>
          <w:lang w:val="en-GB"/>
        </w:rPr>
        <w:t xml:space="preserve">. How to find relevant courses? </w:t>
      </w:r>
    </w:p>
    <w:p w14:paraId="2C06D76B" w14:textId="360D3E80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lastRenderedPageBreak/>
        <w:t>PhD courses can be done anywhere in the Netherlands or abroad</w:t>
      </w:r>
      <w:r w:rsidR="008B61C3" w:rsidRPr="00686501">
        <w:rPr>
          <w:rFonts w:ascii="Garamond" w:hAnsi="Garamond"/>
          <w:lang w:val="en-GB"/>
        </w:rPr>
        <w:t>. To find courses, you can</w:t>
      </w:r>
      <w:r w:rsidR="00FA509A">
        <w:rPr>
          <w:rFonts w:ascii="Garamond" w:hAnsi="Garamond"/>
          <w:lang w:val="en-GB"/>
        </w:rPr>
        <w:t>:</w:t>
      </w:r>
      <w:r w:rsidRPr="00686501">
        <w:rPr>
          <w:rFonts w:ascii="Garamond" w:hAnsi="Garamond"/>
          <w:lang w:val="en-GB"/>
        </w:rPr>
        <w:t xml:space="preserve"> </w:t>
      </w:r>
    </w:p>
    <w:p w14:paraId="1D82DC85" w14:textId="0CEB3B01" w:rsidR="00560E02" w:rsidRPr="00686501" w:rsidRDefault="00360A1A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Search on </w:t>
      </w:r>
      <w:r w:rsidR="00AA16E5" w:rsidRPr="00686501">
        <w:rPr>
          <w:rFonts w:ascii="Garamond" w:hAnsi="Garamond"/>
          <w:lang w:val="en-GB"/>
        </w:rPr>
        <w:t xml:space="preserve">the </w:t>
      </w:r>
      <w:r w:rsidRPr="00686501">
        <w:rPr>
          <w:rFonts w:ascii="Garamond" w:hAnsi="Garamond"/>
          <w:lang w:val="en-GB"/>
        </w:rPr>
        <w:t xml:space="preserve">internet, discuss with supervisors, discuss with </w:t>
      </w:r>
      <w:r w:rsidR="00D82B5C">
        <w:rPr>
          <w:rFonts w:ascii="Garamond" w:hAnsi="Garamond"/>
          <w:lang w:val="en-GB"/>
        </w:rPr>
        <w:t>other</w:t>
      </w:r>
      <w:r w:rsidRPr="00686501">
        <w:rPr>
          <w:rFonts w:ascii="Garamond" w:hAnsi="Garamond"/>
          <w:lang w:val="en-GB"/>
        </w:rPr>
        <w:t xml:space="preserve"> PhD candidates</w:t>
      </w:r>
      <w:r w:rsidR="001D5E11">
        <w:rPr>
          <w:rFonts w:ascii="Garamond" w:hAnsi="Garamond"/>
          <w:lang w:val="en-GB"/>
        </w:rPr>
        <w:t>.</w:t>
      </w:r>
    </w:p>
    <w:p w14:paraId="40529A15" w14:textId="219A8470" w:rsidR="00560E02" w:rsidRPr="00686501" w:rsidRDefault="00560E02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Read monthly WIAS </w:t>
      </w:r>
      <w:r w:rsidR="00FA509A" w:rsidRPr="00686501">
        <w:rPr>
          <w:rFonts w:ascii="Garamond" w:hAnsi="Garamond"/>
          <w:lang w:val="en-GB"/>
        </w:rPr>
        <w:t>newsletter</w:t>
      </w:r>
      <w:r w:rsidR="001D5E11" w:rsidRPr="0068650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1C85C6B5" w14:textId="76D40D33" w:rsidR="00811BD6" w:rsidRPr="00686501" w:rsidRDefault="00AA16E5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Check out the </w:t>
      </w:r>
      <w:r w:rsidR="00360A1A" w:rsidRPr="00686501">
        <w:rPr>
          <w:rFonts w:ascii="Garamond" w:hAnsi="Garamond"/>
          <w:lang w:val="en-GB"/>
        </w:rPr>
        <w:t>W</w:t>
      </w:r>
      <w:r w:rsidR="00560E02" w:rsidRPr="00686501">
        <w:rPr>
          <w:rFonts w:ascii="Garamond" w:hAnsi="Garamond"/>
          <w:lang w:val="en-GB"/>
        </w:rPr>
        <w:t xml:space="preserve">IAS </w:t>
      </w:r>
      <w:r w:rsidRPr="00686501">
        <w:rPr>
          <w:rFonts w:ascii="Garamond" w:hAnsi="Garamond"/>
          <w:lang w:val="en-GB"/>
        </w:rPr>
        <w:t>website</w:t>
      </w:r>
      <w:r w:rsidR="00360A1A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(</w:t>
      </w:r>
      <w:hyperlink r:id="rId7" w:history="1">
        <w:r w:rsidRPr="00686501">
          <w:rPr>
            <w:rStyle w:val="Hyperlink"/>
            <w:rFonts w:ascii="Garamond" w:hAnsi="Garamond"/>
            <w:lang w:val="en-GB"/>
          </w:rPr>
          <w:t>https://www.wur.eu/wias</w:t>
        </w:r>
      </w:hyperlink>
      <w:r w:rsidRPr="00686501">
        <w:rPr>
          <w:rFonts w:ascii="Garamond" w:hAnsi="Garamond"/>
          <w:lang w:val="en-GB"/>
        </w:rPr>
        <w:t>) for courses offered</w:t>
      </w:r>
      <w:r w:rsidR="001D5E11">
        <w:rPr>
          <w:rFonts w:ascii="Garamond" w:hAnsi="Garamond"/>
          <w:lang w:val="en-GB"/>
        </w:rPr>
        <w:t>.</w:t>
      </w:r>
    </w:p>
    <w:p w14:paraId="2FE59655" w14:textId="400B43BB" w:rsidR="00360A1A" w:rsidRPr="00686501" w:rsidRDefault="00360A1A" w:rsidP="008B61C3">
      <w:pPr>
        <w:pStyle w:val="Default"/>
        <w:numPr>
          <w:ilvl w:val="0"/>
          <w:numId w:val="1"/>
        </w:numPr>
        <w:spacing w:after="9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Wageningen Graduate Schools off</w:t>
      </w:r>
      <w:r w:rsidR="00560E02" w:rsidRPr="00686501">
        <w:rPr>
          <w:rFonts w:ascii="Garamond" w:hAnsi="Garamond"/>
          <w:lang w:val="en-GB"/>
        </w:rPr>
        <w:t xml:space="preserve">ers subsidized </w:t>
      </w:r>
      <w:r w:rsidR="00335D86" w:rsidRPr="00686501">
        <w:rPr>
          <w:rFonts w:ascii="Garamond" w:hAnsi="Garamond"/>
          <w:lang w:val="en-GB"/>
        </w:rPr>
        <w:t xml:space="preserve">competence skills and </w:t>
      </w:r>
      <w:r w:rsidR="00D82B5C" w:rsidRPr="00686501">
        <w:rPr>
          <w:rFonts w:ascii="Garamond" w:hAnsi="Garamond"/>
          <w:lang w:val="en-GB"/>
        </w:rPr>
        <w:t>career-oriented</w:t>
      </w:r>
      <w:r w:rsidR="00335D86" w:rsidRPr="00686501">
        <w:rPr>
          <w:rFonts w:ascii="Garamond" w:hAnsi="Garamond"/>
          <w:lang w:val="en-GB"/>
        </w:rPr>
        <w:t xml:space="preserve"> </w:t>
      </w:r>
      <w:r w:rsidR="00560E02" w:rsidRPr="00686501">
        <w:rPr>
          <w:rFonts w:ascii="Garamond" w:hAnsi="Garamond"/>
          <w:lang w:val="en-GB"/>
        </w:rPr>
        <w:t>courses</w:t>
      </w:r>
      <w:r w:rsidR="007B74D6" w:rsidRPr="00686501">
        <w:rPr>
          <w:rFonts w:ascii="Garamond" w:hAnsi="Garamond"/>
          <w:lang w:val="en-GB"/>
        </w:rPr>
        <w:t xml:space="preserve"> (see: https://wgs.crs.wur.nl/</w:t>
      </w:r>
      <w:r w:rsidR="00560E02" w:rsidRPr="00686501">
        <w:rPr>
          <w:rFonts w:ascii="Garamond" w:hAnsi="Garamond"/>
          <w:lang w:val="en-GB"/>
        </w:rPr>
        <w:t>)</w:t>
      </w:r>
      <w:r w:rsidR="001D5E11">
        <w:rPr>
          <w:rFonts w:ascii="Garamond" w:hAnsi="Garamond"/>
          <w:lang w:val="en-GB"/>
        </w:rPr>
        <w:t>.</w:t>
      </w:r>
      <w:r w:rsidR="00560E02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 </w:t>
      </w:r>
    </w:p>
    <w:p w14:paraId="15C4F9D2" w14:textId="0B322D7C" w:rsidR="00560E02" w:rsidRPr="00686501" w:rsidRDefault="00360A1A" w:rsidP="008B61C3">
      <w:pPr>
        <w:pStyle w:val="Default"/>
        <w:numPr>
          <w:ilvl w:val="0"/>
          <w:numId w:val="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Courses at the other </w:t>
      </w:r>
      <w:r w:rsidR="00FC259D" w:rsidRPr="00686501">
        <w:rPr>
          <w:rFonts w:ascii="Garamond" w:hAnsi="Garamond"/>
          <w:lang w:val="en-GB"/>
        </w:rPr>
        <w:t>five</w:t>
      </w:r>
      <w:r w:rsidR="00770DB2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Wageningen graduate schools </w:t>
      </w:r>
      <w:r w:rsidR="00560E02" w:rsidRPr="00686501">
        <w:rPr>
          <w:rFonts w:ascii="Garamond" w:hAnsi="Garamond"/>
          <w:lang w:val="en-GB"/>
        </w:rPr>
        <w:t>(</w:t>
      </w:r>
      <w:r w:rsidR="007B74D6" w:rsidRPr="00686501">
        <w:rPr>
          <w:rFonts w:ascii="Garamond" w:hAnsi="Garamond"/>
          <w:lang w:val="en-GB"/>
        </w:rPr>
        <w:t xml:space="preserve">see websites of </w:t>
      </w:r>
      <w:r w:rsidR="00560E02" w:rsidRPr="00686501">
        <w:rPr>
          <w:rFonts w:ascii="Garamond" w:hAnsi="Garamond"/>
          <w:lang w:val="en-GB"/>
        </w:rPr>
        <w:t>VLAG, PE&amp;RC, WIMEK, WASS</w:t>
      </w:r>
      <w:r w:rsidR="00D82B5C">
        <w:rPr>
          <w:rFonts w:ascii="Garamond" w:hAnsi="Garamond"/>
          <w:lang w:val="en-GB"/>
        </w:rPr>
        <w:t xml:space="preserve"> and</w:t>
      </w:r>
      <w:r w:rsidR="00560E02" w:rsidRPr="00686501">
        <w:rPr>
          <w:rFonts w:ascii="Garamond" w:hAnsi="Garamond"/>
          <w:lang w:val="en-GB"/>
        </w:rPr>
        <w:t xml:space="preserve"> EPS)</w:t>
      </w:r>
      <w:r w:rsidR="001D5E11">
        <w:rPr>
          <w:rFonts w:ascii="Garamond" w:hAnsi="Garamond"/>
          <w:lang w:val="en-GB"/>
        </w:rPr>
        <w:t>.</w:t>
      </w:r>
    </w:p>
    <w:p w14:paraId="36583447" w14:textId="1F07ABA4" w:rsidR="00CD069F" w:rsidRPr="00686501" w:rsidRDefault="00CD069F" w:rsidP="008B61C3">
      <w:pPr>
        <w:pStyle w:val="Default"/>
        <w:numPr>
          <w:ilvl w:val="0"/>
          <w:numId w:val="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Courses offered by graduate schools of other (non)Dutch universities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4D510E2B" w14:textId="77777777" w:rsidR="008B61C3" w:rsidRPr="00686501" w:rsidRDefault="008B61C3" w:rsidP="00360A1A">
      <w:pPr>
        <w:pStyle w:val="Default"/>
        <w:rPr>
          <w:rFonts w:ascii="Garamond" w:hAnsi="Garamond"/>
          <w:lang w:val="en-GB"/>
        </w:rPr>
      </w:pPr>
    </w:p>
    <w:p w14:paraId="56672A98" w14:textId="0CB92A67" w:rsidR="00360A1A" w:rsidRPr="00686501" w:rsidRDefault="00FA509A" w:rsidP="00360A1A">
      <w:pPr>
        <w:pStyle w:val="Default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9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FC259D" w:rsidRPr="00686501">
        <w:rPr>
          <w:rFonts w:ascii="Garamond" w:hAnsi="Garamond"/>
          <w:b/>
          <w:bCs/>
          <w:lang w:val="en-GB"/>
        </w:rPr>
        <w:t xml:space="preserve">What are the </w:t>
      </w:r>
      <w:r w:rsidR="00CD069F" w:rsidRPr="00686501">
        <w:rPr>
          <w:rFonts w:ascii="Garamond" w:hAnsi="Garamond"/>
          <w:b/>
          <w:bCs/>
          <w:lang w:val="en-GB"/>
        </w:rPr>
        <w:t xml:space="preserve">requirements for </w:t>
      </w:r>
      <w:r w:rsidR="00FC259D" w:rsidRPr="00686501">
        <w:rPr>
          <w:rFonts w:ascii="Garamond" w:hAnsi="Garamond"/>
          <w:b/>
          <w:bCs/>
          <w:lang w:val="en-GB"/>
        </w:rPr>
        <w:t>p</w:t>
      </w:r>
      <w:r w:rsidR="00360A1A" w:rsidRPr="00686501">
        <w:rPr>
          <w:rFonts w:ascii="Garamond" w:hAnsi="Garamond"/>
          <w:b/>
          <w:bCs/>
          <w:lang w:val="en-GB"/>
        </w:rPr>
        <w:t>resentation</w:t>
      </w:r>
      <w:r w:rsidR="00CD069F" w:rsidRPr="00686501">
        <w:rPr>
          <w:rFonts w:ascii="Garamond" w:hAnsi="Garamond"/>
          <w:b/>
          <w:bCs/>
          <w:lang w:val="en-GB"/>
        </w:rPr>
        <w:t>s</w:t>
      </w:r>
      <w:r w:rsidR="00360A1A" w:rsidRPr="00686501">
        <w:rPr>
          <w:rFonts w:ascii="Garamond" w:hAnsi="Garamond"/>
          <w:b/>
          <w:bCs/>
          <w:lang w:val="en-GB"/>
        </w:rPr>
        <w:t xml:space="preserve">? </w:t>
      </w:r>
    </w:p>
    <w:p w14:paraId="17A44482" w14:textId="4BA856DF" w:rsidR="001B5A3A" w:rsidRPr="00686501" w:rsidRDefault="005B494C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 </w:t>
      </w:r>
      <w:r w:rsidR="001B5A3A" w:rsidRPr="00686501">
        <w:rPr>
          <w:rFonts w:ascii="Garamond" w:hAnsi="Garamond"/>
          <w:lang w:val="en-GB"/>
        </w:rPr>
        <w:t xml:space="preserve">will </w:t>
      </w:r>
      <w:r w:rsidRPr="00686501">
        <w:rPr>
          <w:rFonts w:ascii="Garamond" w:hAnsi="Garamond"/>
          <w:lang w:val="en-GB"/>
        </w:rPr>
        <w:t>receive 1 ECTS for each original presentation given to a broader scientific public (</w:t>
      </w:r>
      <w:r w:rsidR="001D5E11" w:rsidRPr="00686501">
        <w:rPr>
          <w:rFonts w:ascii="Garamond" w:hAnsi="Garamond"/>
          <w:lang w:val="en-GB"/>
        </w:rPr>
        <w:t>e.g.,</w:t>
      </w:r>
      <w:r w:rsidRPr="00686501">
        <w:rPr>
          <w:rFonts w:ascii="Garamond" w:hAnsi="Garamond"/>
          <w:lang w:val="en-GB"/>
        </w:rPr>
        <w:t xml:space="preserve"> at an international conference, workshop or seminar)</w:t>
      </w:r>
      <w:r w:rsidR="00FA509A">
        <w:rPr>
          <w:rFonts w:ascii="Garamond" w:hAnsi="Garamond"/>
          <w:lang w:val="en-GB"/>
        </w:rPr>
        <w:t>.</w:t>
      </w:r>
    </w:p>
    <w:p w14:paraId="580EE2F9" w14:textId="3FD78F7C" w:rsidR="001B5A3A" w:rsidRPr="00686501" w:rsidRDefault="001B5A3A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 are required to </w:t>
      </w:r>
      <w:r w:rsidR="0034228A" w:rsidRPr="00686501">
        <w:rPr>
          <w:rFonts w:ascii="Garamond" w:hAnsi="Garamond"/>
          <w:lang w:val="en-GB"/>
        </w:rPr>
        <w:t>give</w:t>
      </w:r>
      <w:r w:rsidRPr="00686501">
        <w:rPr>
          <w:rFonts w:ascii="Garamond" w:hAnsi="Garamond"/>
          <w:lang w:val="en-GB"/>
        </w:rPr>
        <w:t xml:space="preserve"> a minimum of two original presentations, of which one is oral</w:t>
      </w:r>
      <w:r w:rsidR="001D5E11">
        <w:rPr>
          <w:rFonts w:ascii="Garamond" w:hAnsi="Garamond"/>
          <w:lang w:val="en-GB"/>
        </w:rPr>
        <w:t>.</w:t>
      </w:r>
      <w:r w:rsidR="00D82B5C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and one is a poster</w:t>
      </w:r>
      <w:r w:rsidR="00FA509A">
        <w:rPr>
          <w:rFonts w:ascii="Garamond" w:hAnsi="Garamond"/>
          <w:lang w:val="en-GB"/>
        </w:rPr>
        <w:t>.</w:t>
      </w:r>
    </w:p>
    <w:p w14:paraId="7786931A" w14:textId="2F0C2E6E" w:rsidR="001B5A3A" w:rsidRPr="00686501" w:rsidRDefault="005B494C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You will receive credit points for a maximum of 4 original presentations (4 ECTS)</w:t>
      </w:r>
      <w:r w:rsidR="001B5A3A" w:rsidRPr="00686501">
        <w:rPr>
          <w:rFonts w:ascii="Garamond" w:hAnsi="Garamond"/>
          <w:lang w:val="en-GB"/>
        </w:rPr>
        <w:t xml:space="preserve"> and only a maximum of five presentations (one presentation without credit) can be </w:t>
      </w:r>
      <w:r w:rsidR="0034228A" w:rsidRPr="00686501">
        <w:rPr>
          <w:rFonts w:ascii="Garamond" w:hAnsi="Garamond"/>
          <w:lang w:val="en-GB"/>
        </w:rPr>
        <w:t>listed</w:t>
      </w:r>
      <w:r w:rsidR="001B5A3A" w:rsidRPr="00686501">
        <w:rPr>
          <w:rFonts w:ascii="Garamond" w:hAnsi="Garamond"/>
          <w:lang w:val="en-GB"/>
        </w:rPr>
        <w:t xml:space="preserve"> in the final TSP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2EA1280F" w14:textId="162793AF" w:rsidR="001B5A3A" w:rsidRPr="00686501" w:rsidRDefault="005B494C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Presentations made in your chair group do not count towards your TSP</w:t>
      </w:r>
      <w:r w:rsidR="001D5E11">
        <w:rPr>
          <w:rFonts w:ascii="Garamond" w:hAnsi="Garamond"/>
          <w:lang w:val="en-GB"/>
        </w:rPr>
        <w:t>.</w:t>
      </w:r>
    </w:p>
    <w:p w14:paraId="5715DA7D" w14:textId="07596E5B" w:rsidR="006B2928" w:rsidRPr="00686501" w:rsidRDefault="006332D8" w:rsidP="000F6755">
      <w:pPr>
        <w:pStyle w:val="Default"/>
        <w:numPr>
          <w:ilvl w:val="0"/>
          <w:numId w:val="3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Presenting the same poster at different events does not lead to additional credits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0584291C" w14:textId="77777777" w:rsidR="00BF5661" w:rsidRPr="00686501" w:rsidRDefault="00BF5661" w:rsidP="00360A1A">
      <w:pPr>
        <w:pStyle w:val="Default"/>
        <w:rPr>
          <w:rFonts w:ascii="Garamond" w:hAnsi="Garamond"/>
          <w:lang w:val="en-GB"/>
        </w:rPr>
      </w:pPr>
    </w:p>
    <w:p w14:paraId="3A29CAB9" w14:textId="6B4F2BD2" w:rsidR="00360A1A" w:rsidRPr="00686501" w:rsidRDefault="00FA509A" w:rsidP="00360A1A">
      <w:pPr>
        <w:pStyle w:val="Default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10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CD069F" w:rsidRPr="00686501">
        <w:rPr>
          <w:rFonts w:ascii="Garamond" w:hAnsi="Garamond"/>
          <w:b/>
          <w:bCs/>
          <w:lang w:val="en-GB"/>
        </w:rPr>
        <w:t xml:space="preserve">What are the requirements for </w:t>
      </w:r>
      <w:r w:rsidR="00360A1A" w:rsidRPr="00686501">
        <w:rPr>
          <w:rFonts w:ascii="Garamond" w:hAnsi="Garamond"/>
          <w:b/>
          <w:bCs/>
          <w:lang w:val="en-GB"/>
        </w:rPr>
        <w:t>PhD discussion group</w:t>
      </w:r>
      <w:r w:rsidR="00CD069F" w:rsidRPr="00686501">
        <w:rPr>
          <w:rFonts w:ascii="Garamond" w:hAnsi="Garamond"/>
          <w:b/>
          <w:bCs/>
          <w:lang w:val="en-GB"/>
        </w:rPr>
        <w:t>s</w:t>
      </w:r>
      <w:r w:rsidR="00360A1A" w:rsidRPr="00686501">
        <w:rPr>
          <w:rFonts w:ascii="Garamond" w:hAnsi="Garamond"/>
          <w:b/>
          <w:bCs/>
          <w:lang w:val="en-GB"/>
        </w:rPr>
        <w:t xml:space="preserve">? </w:t>
      </w:r>
    </w:p>
    <w:p w14:paraId="1D91DCA5" w14:textId="28B2DCE9" w:rsidR="00E24D1E" w:rsidRPr="00686501" w:rsidRDefault="00A962E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A PhD discussion group </w:t>
      </w:r>
      <w:r w:rsidR="00C54336" w:rsidRPr="00686501">
        <w:rPr>
          <w:rFonts w:ascii="Garamond" w:hAnsi="Garamond"/>
          <w:lang w:val="en-GB"/>
        </w:rPr>
        <w:t>must</w:t>
      </w:r>
      <w:r w:rsidRPr="00686501">
        <w:rPr>
          <w:rFonts w:ascii="Garamond" w:hAnsi="Garamond"/>
          <w:lang w:val="en-GB"/>
        </w:rPr>
        <w:t xml:space="preserve"> be approved by the WIAS</w:t>
      </w:r>
      <w:r w:rsidR="008B61C3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E</w:t>
      </w:r>
      <w:r w:rsidR="008B61C3" w:rsidRPr="00686501">
        <w:rPr>
          <w:rFonts w:ascii="Garamond" w:hAnsi="Garamond"/>
          <w:lang w:val="en-GB"/>
        </w:rPr>
        <w:t xml:space="preserve">ducation </w:t>
      </w:r>
      <w:r w:rsidRPr="00686501">
        <w:rPr>
          <w:rFonts w:ascii="Garamond" w:hAnsi="Garamond"/>
          <w:lang w:val="en-GB"/>
        </w:rPr>
        <w:t>C</w:t>
      </w:r>
      <w:r w:rsidR="008B61C3" w:rsidRPr="00686501">
        <w:rPr>
          <w:rFonts w:ascii="Garamond" w:hAnsi="Garamond"/>
          <w:lang w:val="en-GB"/>
        </w:rPr>
        <w:t>ommittee (EC)</w:t>
      </w:r>
      <w:r w:rsidRPr="00686501">
        <w:rPr>
          <w:rFonts w:ascii="Garamond" w:hAnsi="Garamond"/>
          <w:lang w:val="en-GB"/>
        </w:rPr>
        <w:t xml:space="preserve"> based on a written application </w:t>
      </w:r>
      <w:r w:rsidR="00FA509A">
        <w:rPr>
          <w:rFonts w:ascii="Garamond" w:hAnsi="Garamond"/>
          <w:lang w:val="en-GB"/>
        </w:rPr>
        <w:t>that</w:t>
      </w:r>
      <w:r w:rsidRPr="00686501">
        <w:rPr>
          <w:rFonts w:ascii="Garamond" w:hAnsi="Garamond"/>
          <w:lang w:val="en-GB"/>
        </w:rPr>
        <w:t xml:space="preserve"> describes a discussion</w:t>
      </w:r>
      <w:r w:rsidR="00C54336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group</w:t>
      </w:r>
      <w:r w:rsidR="00C54336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plan</w:t>
      </w:r>
      <w:r w:rsidR="00154B32" w:rsidRPr="00686501">
        <w:rPr>
          <w:rFonts w:ascii="Garamond" w:hAnsi="Garamond"/>
          <w:lang w:val="en-GB"/>
        </w:rPr>
        <w:t xml:space="preserve"> (see application form on the </w:t>
      </w:r>
      <w:hyperlink r:id="rId8" w:history="1">
        <w:r w:rsidR="00154B32" w:rsidRPr="00686501">
          <w:rPr>
            <w:rStyle w:val="Hyperlink"/>
            <w:rFonts w:ascii="Garamond" w:hAnsi="Garamond"/>
            <w:lang w:val="en-GB"/>
          </w:rPr>
          <w:t>WIAS website</w:t>
        </w:r>
      </w:hyperlink>
      <w:r w:rsidR="00154B32" w:rsidRPr="00686501">
        <w:rPr>
          <w:rFonts w:ascii="Garamond" w:hAnsi="Garamond"/>
          <w:lang w:val="en-GB"/>
        </w:rPr>
        <w:t>)</w:t>
      </w:r>
      <w:r w:rsidR="001D5E11">
        <w:rPr>
          <w:rFonts w:ascii="Garamond" w:hAnsi="Garamond"/>
          <w:lang w:val="en-GB"/>
        </w:rPr>
        <w:t>.</w:t>
      </w:r>
      <w:r w:rsidR="00CD069F" w:rsidRPr="00686501">
        <w:rPr>
          <w:rFonts w:ascii="Garamond" w:hAnsi="Garamond"/>
          <w:lang w:val="en-GB"/>
        </w:rPr>
        <w:t xml:space="preserve"> </w:t>
      </w:r>
    </w:p>
    <w:p w14:paraId="39131429" w14:textId="7935BB11" w:rsidR="00E24D1E" w:rsidRPr="00686501" w:rsidRDefault="00A962E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In-depth discussion (</w:t>
      </w:r>
      <w:r w:rsidR="005D6EBD" w:rsidRPr="00686501">
        <w:rPr>
          <w:rFonts w:ascii="Garamond" w:hAnsi="Garamond"/>
          <w:lang w:val="en-GB"/>
        </w:rPr>
        <w:t>e.g.,</w:t>
      </w:r>
      <w:r w:rsidRPr="00686501">
        <w:rPr>
          <w:rFonts w:ascii="Garamond" w:hAnsi="Garamond"/>
          <w:lang w:val="en-GB"/>
        </w:rPr>
        <w:t xml:space="preserve"> of papers, chapters of a book, with invited guest speakers, etc.) should be the core of the meeting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67F05CD3" w14:textId="4570483C" w:rsidR="00686105" w:rsidRPr="00686501" w:rsidRDefault="00A962E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Meetings </w:t>
      </w:r>
      <w:r w:rsidR="00E24D1E" w:rsidRPr="00686501">
        <w:rPr>
          <w:rFonts w:ascii="Garamond" w:hAnsi="Garamond"/>
          <w:lang w:val="en-GB"/>
        </w:rPr>
        <w:t xml:space="preserve">must take place </w:t>
      </w:r>
      <w:r w:rsidRPr="00686501">
        <w:rPr>
          <w:rFonts w:ascii="Garamond" w:hAnsi="Garamond"/>
          <w:lang w:val="en-GB"/>
        </w:rPr>
        <w:t>regular</w:t>
      </w:r>
      <w:r w:rsidR="00686105" w:rsidRPr="00686501">
        <w:rPr>
          <w:rFonts w:ascii="Garamond" w:hAnsi="Garamond"/>
          <w:lang w:val="en-GB"/>
        </w:rPr>
        <w:t>ly</w:t>
      </w:r>
      <w:r w:rsidRPr="00686501">
        <w:rPr>
          <w:rFonts w:ascii="Garamond" w:hAnsi="Garamond"/>
          <w:lang w:val="en-GB"/>
        </w:rPr>
        <w:t xml:space="preserve"> (at least 6 times per year) and information of each meeting (date, duration, name of staff member present, subject discussed, list of participants) should be archived</w:t>
      </w:r>
      <w:r w:rsidR="0089511E">
        <w:rPr>
          <w:rFonts w:ascii="Garamond" w:hAnsi="Garamond"/>
          <w:lang w:val="en-GB"/>
        </w:rPr>
        <w:t>. The archived information must be submitted yearly to WIAS (</w:t>
      </w:r>
      <w:hyperlink r:id="rId9" w:history="1">
        <w:r w:rsidR="0089511E" w:rsidRPr="00502A5B">
          <w:rPr>
            <w:rStyle w:val="Hyperlink"/>
            <w:rFonts w:ascii="Garamond" w:hAnsi="Garamond"/>
            <w:lang w:val="en-GB"/>
          </w:rPr>
          <w:t>wias@wur.nl</w:t>
        </w:r>
      </w:hyperlink>
      <w:r w:rsidR="0089511E">
        <w:rPr>
          <w:rFonts w:ascii="Garamond" w:hAnsi="Garamond"/>
          <w:lang w:val="en-GB"/>
        </w:rPr>
        <w:t xml:space="preserve">). </w:t>
      </w:r>
    </w:p>
    <w:p w14:paraId="7052F3D8" w14:textId="185B14B2" w:rsidR="00A962E4" w:rsidRPr="00686501" w:rsidRDefault="008B61C3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Note that discussion groups where PhD candidates present their own PhD proposal or practice their presentations before </w:t>
      </w:r>
      <w:r w:rsidR="00154B32" w:rsidRPr="00686501">
        <w:rPr>
          <w:rFonts w:ascii="Garamond" w:hAnsi="Garamond"/>
          <w:lang w:val="en-GB"/>
        </w:rPr>
        <w:t>presenting to a broader scientific audience does not count toward the TSP</w:t>
      </w:r>
      <w:r w:rsidR="001D5E11">
        <w:rPr>
          <w:rFonts w:ascii="Garamond" w:hAnsi="Garamond"/>
          <w:lang w:val="en-GB"/>
        </w:rPr>
        <w:t>.</w:t>
      </w:r>
    </w:p>
    <w:p w14:paraId="5EF168F4" w14:textId="5D44180A" w:rsidR="00D30C54" w:rsidRPr="00686501" w:rsidRDefault="00686105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A </w:t>
      </w:r>
      <w:r w:rsidR="00483406" w:rsidRPr="00686501">
        <w:rPr>
          <w:rFonts w:ascii="Garamond" w:hAnsi="Garamond"/>
          <w:lang w:val="en-GB"/>
        </w:rPr>
        <w:t xml:space="preserve">maximum </w:t>
      </w:r>
      <w:r w:rsidRPr="00686501">
        <w:rPr>
          <w:rFonts w:ascii="Garamond" w:hAnsi="Garamond"/>
          <w:lang w:val="en-GB"/>
        </w:rPr>
        <w:t xml:space="preserve">of </w:t>
      </w:r>
      <w:r w:rsidR="00AB5B5B" w:rsidRPr="00686501">
        <w:rPr>
          <w:rFonts w:ascii="Garamond" w:hAnsi="Garamond"/>
          <w:lang w:val="en-GB"/>
        </w:rPr>
        <w:t>2 ECTS</w:t>
      </w:r>
      <w:r w:rsidR="000D318C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can be obtained </w:t>
      </w:r>
      <w:r w:rsidR="000D318C" w:rsidRPr="00686501">
        <w:rPr>
          <w:rFonts w:ascii="Garamond" w:hAnsi="Garamond"/>
          <w:lang w:val="en-GB"/>
        </w:rPr>
        <w:t>per discussion group</w:t>
      </w:r>
      <w:r w:rsidR="001D5E11">
        <w:rPr>
          <w:rFonts w:ascii="Garamond" w:hAnsi="Garamond"/>
          <w:lang w:val="en-GB"/>
        </w:rPr>
        <w:t>.</w:t>
      </w:r>
    </w:p>
    <w:p w14:paraId="3961A11A" w14:textId="244A9BB4" w:rsidR="00514FEC" w:rsidRPr="00686501" w:rsidRDefault="00D30C54" w:rsidP="000F6755">
      <w:pPr>
        <w:pStyle w:val="Default"/>
        <w:numPr>
          <w:ilvl w:val="0"/>
          <w:numId w:val="5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A</w:t>
      </w:r>
      <w:r w:rsidR="00686105" w:rsidRPr="00686501">
        <w:rPr>
          <w:rFonts w:ascii="Garamond" w:hAnsi="Garamond"/>
          <w:lang w:val="en-GB"/>
        </w:rPr>
        <w:t xml:space="preserve"> maximum of 4 ECTS </w:t>
      </w:r>
      <w:r w:rsidRPr="00686501">
        <w:rPr>
          <w:rFonts w:ascii="Garamond" w:hAnsi="Garamond"/>
          <w:lang w:val="en-GB"/>
        </w:rPr>
        <w:t xml:space="preserve">can be obtained </w:t>
      </w:r>
      <w:r w:rsidR="00686105" w:rsidRPr="00686501">
        <w:rPr>
          <w:rFonts w:ascii="Garamond" w:hAnsi="Garamond"/>
          <w:lang w:val="en-GB"/>
        </w:rPr>
        <w:t xml:space="preserve">if the PhD candidate is an active member of more than one </w:t>
      </w:r>
      <w:r w:rsidRPr="00686501">
        <w:rPr>
          <w:rFonts w:ascii="Garamond" w:hAnsi="Garamond"/>
          <w:lang w:val="en-GB"/>
        </w:rPr>
        <w:t xml:space="preserve">PhD discussion </w:t>
      </w:r>
      <w:r w:rsidR="00686105" w:rsidRPr="00686501">
        <w:rPr>
          <w:rFonts w:ascii="Garamond" w:hAnsi="Garamond"/>
          <w:lang w:val="en-GB"/>
        </w:rPr>
        <w:t>groups</w:t>
      </w:r>
      <w:r w:rsidR="001D5E11">
        <w:rPr>
          <w:rFonts w:ascii="Garamond" w:hAnsi="Garamond"/>
          <w:lang w:val="en-GB"/>
        </w:rPr>
        <w:t>.</w:t>
      </w:r>
      <w:r w:rsidR="000D318C" w:rsidRPr="00686501">
        <w:rPr>
          <w:rFonts w:ascii="Garamond" w:hAnsi="Garamond"/>
          <w:lang w:val="en-GB"/>
        </w:rPr>
        <w:t xml:space="preserve">  </w:t>
      </w:r>
    </w:p>
    <w:p w14:paraId="716E3131" w14:textId="7777777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 </w:t>
      </w:r>
    </w:p>
    <w:p w14:paraId="2B622155" w14:textId="5D6F298D" w:rsidR="00360A1A" w:rsidRPr="00686501" w:rsidRDefault="007E7E49" w:rsidP="00360A1A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1</w:t>
      </w:r>
      <w:r w:rsidR="00360A1A" w:rsidRPr="00686501">
        <w:rPr>
          <w:rFonts w:ascii="Garamond" w:hAnsi="Garamond"/>
          <w:b/>
          <w:bCs/>
          <w:lang w:val="en-GB"/>
        </w:rPr>
        <w:t>. Can BSc or MSc</w:t>
      </w:r>
      <w:r w:rsidR="00D30C54" w:rsidRPr="00686501">
        <w:rPr>
          <w:rFonts w:ascii="Garamond" w:hAnsi="Garamond"/>
          <w:b/>
          <w:bCs/>
          <w:lang w:val="en-GB"/>
        </w:rPr>
        <w:t xml:space="preserve"> </w:t>
      </w:r>
      <w:r w:rsidR="00360A1A" w:rsidRPr="00686501">
        <w:rPr>
          <w:rFonts w:ascii="Garamond" w:hAnsi="Garamond"/>
          <w:b/>
          <w:bCs/>
          <w:lang w:val="en-GB"/>
        </w:rPr>
        <w:t xml:space="preserve">level courses count on the TSP? </w:t>
      </w:r>
    </w:p>
    <w:p w14:paraId="6EA58F85" w14:textId="7D46E84C" w:rsidR="00360A1A" w:rsidRPr="00686501" w:rsidRDefault="00360A1A" w:rsidP="000F6755">
      <w:pPr>
        <w:pStyle w:val="Default"/>
        <w:numPr>
          <w:ilvl w:val="0"/>
          <w:numId w:val="7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BSc</w:t>
      </w:r>
      <w:r w:rsidR="00D30C54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level courses </w:t>
      </w:r>
      <w:r w:rsidR="00D30C54" w:rsidRPr="00686501">
        <w:rPr>
          <w:rFonts w:ascii="Garamond" w:hAnsi="Garamond"/>
          <w:lang w:val="en-GB"/>
        </w:rPr>
        <w:t>do not</w:t>
      </w:r>
      <w:r w:rsidRPr="00686501">
        <w:rPr>
          <w:rFonts w:ascii="Garamond" w:hAnsi="Garamond"/>
          <w:lang w:val="en-GB"/>
        </w:rPr>
        <w:t xml:space="preserve"> count on the TSP</w:t>
      </w:r>
      <w:r w:rsidR="001D5E1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607FD2C2" w14:textId="065D09F6" w:rsidR="00360A1A" w:rsidRPr="00686501" w:rsidRDefault="00360A1A" w:rsidP="000F6755">
      <w:pPr>
        <w:pStyle w:val="Default"/>
        <w:numPr>
          <w:ilvl w:val="0"/>
          <w:numId w:val="7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In case of deficiencies</w:t>
      </w:r>
      <w:r w:rsidR="00686105" w:rsidRPr="00686501">
        <w:rPr>
          <w:rFonts w:ascii="Garamond" w:hAnsi="Garamond"/>
          <w:lang w:val="en-GB"/>
        </w:rPr>
        <w:t>,</w:t>
      </w:r>
      <w:r w:rsidRPr="00686501">
        <w:rPr>
          <w:rFonts w:ascii="Garamond" w:hAnsi="Garamond"/>
          <w:lang w:val="en-GB"/>
        </w:rPr>
        <w:t xml:space="preserve"> MSc</w:t>
      </w:r>
      <w:r w:rsidR="00D30C54" w:rsidRPr="00686501">
        <w:rPr>
          <w:rFonts w:ascii="Garamond" w:hAnsi="Garamond"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 xml:space="preserve">level courses (done after MSc graduation) can be </w:t>
      </w:r>
      <w:r w:rsidR="00AB5B5B" w:rsidRPr="00686501">
        <w:rPr>
          <w:rFonts w:ascii="Garamond" w:hAnsi="Garamond"/>
          <w:lang w:val="en-GB"/>
        </w:rPr>
        <w:t>included in the TSP</w:t>
      </w:r>
      <w:r w:rsidRPr="00686501">
        <w:rPr>
          <w:rFonts w:ascii="Garamond" w:hAnsi="Garamond"/>
          <w:lang w:val="en-GB"/>
        </w:rPr>
        <w:t xml:space="preserve"> </w:t>
      </w:r>
      <w:r w:rsidR="0025576A" w:rsidRPr="00686501">
        <w:rPr>
          <w:rFonts w:ascii="Garamond" w:hAnsi="Garamond"/>
          <w:lang w:val="en-GB"/>
        </w:rPr>
        <w:t xml:space="preserve">totalling </w:t>
      </w:r>
      <w:r w:rsidR="005D6EBD" w:rsidRPr="00686501">
        <w:rPr>
          <w:rFonts w:ascii="Garamond" w:hAnsi="Garamond"/>
          <w:lang w:val="en-GB"/>
        </w:rPr>
        <w:t>a maximum</w:t>
      </w:r>
      <w:r w:rsidR="00AB5B5B" w:rsidRPr="00686501">
        <w:rPr>
          <w:rFonts w:ascii="Garamond" w:hAnsi="Garamond"/>
          <w:lang w:val="en-GB"/>
        </w:rPr>
        <w:t xml:space="preserve"> of 6 ECTS.</w:t>
      </w:r>
      <w:r w:rsidRPr="00686501">
        <w:rPr>
          <w:rFonts w:ascii="Garamond" w:hAnsi="Garamond"/>
          <w:lang w:val="en-GB"/>
        </w:rPr>
        <w:t xml:space="preserve"> </w:t>
      </w:r>
      <w:r w:rsidR="00D30C54" w:rsidRPr="00686501">
        <w:rPr>
          <w:rFonts w:ascii="Garamond" w:hAnsi="Garamond"/>
          <w:lang w:val="en-GB"/>
        </w:rPr>
        <w:t xml:space="preserve">In this case, the supervisor must agree that the PhD candidate takes the course. All requirements for the MSc level must be fulfilled </w:t>
      </w:r>
      <w:r w:rsidR="00450FDC" w:rsidRPr="00686501">
        <w:rPr>
          <w:rFonts w:ascii="Garamond" w:hAnsi="Garamond"/>
          <w:lang w:val="en-GB"/>
        </w:rPr>
        <w:t>if</w:t>
      </w:r>
      <w:r w:rsidR="00D30C54" w:rsidRPr="00686501">
        <w:rPr>
          <w:rFonts w:ascii="Garamond" w:hAnsi="Garamond"/>
          <w:lang w:val="en-GB"/>
        </w:rPr>
        <w:t xml:space="preserve"> the course </w:t>
      </w:r>
      <w:r w:rsidR="00450FDC" w:rsidRPr="00686501">
        <w:rPr>
          <w:rFonts w:ascii="Garamond" w:hAnsi="Garamond"/>
          <w:lang w:val="en-GB"/>
        </w:rPr>
        <w:t>is</w:t>
      </w:r>
      <w:r w:rsidR="00D30C54" w:rsidRPr="00686501">
        <w:rPr>
          <w:rFonts w:ascii="Garamond" w:hAnsi="Garamond"/>
          <w:lang w:val="en-GB"/>
        </w:rPr>
        <w:t xml:space="preserve"> included in the TSP.</w:t>
      </w:r>
    </w:p>
    <w:p w14:paraId="22C5369E" w14:textId="2AB18F57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i/>
          <w:iCs/>
          <w:lang w:val="en-GB"/>
        </w:rPr>
        <w:t>Exception</w:t>
      </w:r>
      <w:r w:rsidRPr="00686501">
        <w:rPr>
          <w:rFonts w:ascii="Garamond" w:hAnsi="Garamond"/>
          <w:lang w:val="en-GB"/>
        </w:rPr>
        <w:t xml:space="preserve">: the level of the MSc course ‘’Modern Statistics for the Life Sciences’’ (ABG-30806) is comparable </w:t>
      </w:r>
      <w:r w:rsidR="00217AA7" w:rsidRPr="00686501">
        <w:rPr>
          <w:rFonts w:ascii="Garamond" w:hAnsi="Garamond"/>
          <w:lang w:val="en-GB"/>
        </w:rPr>
        <w:t>to a</w:t>
      </w:r>
      <w:r w:rsidRPr="00686501">
        <w:rPr>
          <w:rFonts w:ascii="Garamond" w:hAnsi="Garamond"/>
          <w:lang w:val="en-GB"/>
        </w:rPr>
        <w:t xml:space="preserve"> PhD course </w:t>
      </w:r>
      <w:r w:rsidR="00217AA7" w:rsidRPr="00686501">
        <w:rPr>
          <w:rFonts w:ascii="Garamond" w:hAnsi="Garamond"/>
          <w:lang w:val="en-GB"/>
        </w:rPr>
        <w:t>in statistics.  This ABG-30806 course</w:t>
      </w:r>
      <w:r w:rsidRPr="00686501">
        <w:rPr>
          <w:rFonts w:ascii="Garamond" w:hAnsi="Garamond"/>
          <w:lang w:val="en-GB"/>
        </w:rPr>
        <w:t xml:space="preserve"> can be filled in as PhD level Advanced statistics course (only when done after MSc graduation). </w:t>
      </w:r>
    </w:p>
    <w:p w14:paraId="02CD1296" w14:textId="77777777" w:rsidR="0011609C" w:rsidRPr="00686501" w:rsidRDefault="0011609C" w:rsidP="00360A1A">
      <w:pPr>
        <w:pStyle w:val="Default"/>
        <w:rPr>
          <w:rFonts w:ascii="Garamond" w:hAnsi="Garamond"/>
          <w:lang w:val="en-GB"/>
        </w:rPr>
      </w:pPr>
    </w:p>
    <w:p w14:paraId="104EA70A" w14:textId="07242CC1" w:rsidR="0011609C" w:rsidRPr="00686501" w:rsidRDefault="00906E6E" w:rsidP="00360A1A">
      <w:pPr>
        <w:pStyle w:val="Default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t>1</w:t>
      </w:r>
      <w:r w:rsidR="00FA509A">
        <w:rPr>
          <w:rFonts w:ascii="Garamond" w:hAnsi="Garamond"/>
          <w:b/>
          <w:lang w:val="en-GB"/>
        </w:rPr>
        <w:t>2</w:t>
      </w:r>
      <w:r w:rsidR="0011609C" w:rsidRPr="00686501">
        <w:rPr>
          <w:rFonts w:ascii="Garamond" w:hAnsi="Garamond"/>
          <w:b/>
          <w:lang w:val="en-GB"/>
        </w:rPr>
        <w:t>. Can online courses be included on the TSP?</w:t>
      </w:r>
    </w:p>
    <w:p w14:paraId="346AD3FF" w14:textId="77777777" w:rsidR="004603E3" w:rsidRPr="00686501" w:rsidRDefault="004603E3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Online courses can </w:t>
      </w:r>
      <w:r w:rsidR="00483406" w:rsidRPr="00686501">
        <w:rPr>
          <w:rFonts w:ascii="Garamond" w:hAnsi="Garamond"/>
          <w:lang w:val="en-GB"/>
        </w:rPr>
        <w:t xml:space="preserve">be </w:t>
      </w:r>
      <w:r w:rsidRPr="00686501">
        <w:rPr>
          <w:rFonts w:ascii="Garamond" w:hAnsi="Garamond"/>
          <w:lang w:val="en-GB"/>
        </w:rPr>
        <w:t xml:space="preserve">included </w:t>
      </w:r>
      <w:r w:rsidR="00483406" w:rsidRPr="00686501">
        <w:rPr>
          <w:rFonts w:ascii="Garamond" w:hAnsi="Garamond"/>
          <w:lang w:val="en-GB"/>
        </w:rPr>
        <w:t>o</w:t>
      </w:r>
      <w:r w:rsidRPr="00686501">
        <w:rPr>
          <w:rFonts w:ascii="Garamond" w:hAnsi="Garamond"/>
          <w:lang w:val="en-GB"/>
        </w:rPr>
        <w:t>n the TSP if:</w:t>
      </w:r>
    </w:p>
    <w:p w14:paraId="0153B24F" w14:textId="26117BDE" w:rsidR="004603E3" w:rsidRPr="00686501" w:rsidRDefault="004603E3" w:rsidP="00476C97">
      <w:pPr>
        <w:pStyle w:val="Default"/>
        <w:numPr>
          <w:ilvl w:val="0"/>
          <w:numId w:val="1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The level of the online course is at least MSc level</w:t>
      </w:r>
      <w:r w:rsidR="003756C9" w:rsidRPr="00686501">
        <w:rPr>
          <w:rFonts w:ascii="Garamond" w:hAnsi="Garamond"/>
          <w:lang w:val="en-GB"/>
        </w:rPr>
        <w:t xml:space="preserve"> (see question </w:t>
      </w:r>
      <w:r w:rsidR="00C85DDA">
        <w:rPr>
          <w:rFonts w:ascii="Garamond" w:hAnsi="Garamond"/>
          <w:lang w:val="en-GB"/>
        </w:rPr>
        <w:t>11</w:t>
      </w:r>
      <w:r w:rsidR="003756C9" w:rsidRPr="00686501">
        <w:rPr>
          <w:rFonts w:ascii="Garamond" w:hAnsi="Garamond"/>
          <w:lang w:val="en-GB"/>
        </w:rPr>
        <w:t>)</w:t>
      </w:r>
      <w:r w:rsidRPr="00686501">
        <w:rPr>
          <w:rFonts w:ascii="Garamond" w:hAnsi="Garamond"/>
          <w:lang w:val="en-GB"/>
        </w:rPr>
        <w:t>. An online course at MSc level can be filled in as part of the maximum 6 ECTS MSc level courses</w:t>
      </w:r>
      <w:r w:rsidR="001D5E11">
        <w:rPr>
          <w:rFonts w:ascii="Garamond" w:hAnsi="Garamond"/>
          <w:lang w:val="en-GB"/>
        </w:rPr>
        <w:t>.</w:t>
      </w:r>
    </w:p>
    <w:p w14:paraId="02EC3DEB" w14:textId="6302C7BF" w:rsidR="004603E3" w:rsidRPr="00686501" w:rsidRDefault="004603E3" w:rsidP="00476C97">
      <w:pPr>
        <w:pStyle w:val="Default"/>
        <w:numPr>
          <w:ilvl w:val="0"/>
          <w:numId w:val="1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Your supervisor agrees </w:t>
      </w:r>
      <w:r w:rsidR="00DC6832" w:rsidRPr="00686501">
        <w:rPr>
          <w:rFonts w:ascii="Garamond" w:hAnsi="Garamond"/>
          <w:lang w:val="en-GB"/>
        </w:rPr>
        <w:t>that you can attend</w:t>
      </w:r>
      <w:r w:rsidRPr="00686501">
        <w:rPr>
          <w:rFonts w:ascii="Garamond" w:hAnsi="Garamond"/>
          <w:lang w:val="en-GB"/>
        </w:rPr>
        <w:t xml:space="preserve"> the course.</w:t>
      </w:r>
    </w:p>
    <w:p w14:paraId="3C102335" w14:textId="672CFB97" w:rsidR="004603E3" w:rsidRPr="00686501" w:rsidRDefault="004603E3" w:rsidP="00476C97">
      <w:pPr>
        <w:pStyle w:val="Default"/>
        <w:numPr>
          <w:ilvl w:val="0"/>
          <w:numId w:val="11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You have a proof of </w:t>
      </w:r>
      <w:r w:rsidR="00044E26" w:rsidRPr="00686501">
        <w:rPr>
          <w:rFonts w:ascii="Garamond" w:hAnsi="Garamond"/>
          <w:lang w:val="en-GB"/>
        </w:rPr>
        <w:t>successful</w:t>
      </w:r>
      <w:r w:rsidRPr="00686501">
        <w:rPr>
          <w:rFonts w:ascii="Garamond" w:hAnsi="Garamond"/>
          <w:lang w:val="en-GB"/>
        </w:rPr>
        <w:t xml:space="preserve"> completion of the course</w:t>
      </w:r>
      <w:r w:rsidR="00DC6832" w:rsidRPr="00686501">
        <w:rPr>
          <w:rFonts w:ascii="Garamond" w:hAnsi="Garamond"/>
          <w:lang w:val="en-GB"/>
        </w:rPr>
        <w:t xml:space="preserve"> (</w:t>
      </w:r>
      <w:r w:rsidRPr="00686501">
        <w:rPr>
          <w:rFonts w:ascii="Garamond" w:hAnsi="Garamond"/>
          <w:lang w:val="en-GB"/>
        </w:rPr>
        <w:t>a course certificate</w:t>
      </w:r>
      <w:r w:rsidR="00154B32" w:rsidRPr="00686501">
        <w:rPr>
          <w:rFonts w:ascii="Garamond" w:hAnsi="Garamond"/>
          <w:lang w:val="en-GB"/>
        </w:rPr>
        <w:t xml:space="preserve"> of completion</w:t>
      </w:r>
      <w:r w:rsidR="001A7C42" w:rsidRPr="00686501">
        <w:rPr>
          <w:rFonts w:ascii="Garamond" w:hAnsi="Garamond"/>
          <w:lang w:val="en-GB"/>
        </w:rPr>
        <w:t>). Information on enrolment is no proof of attendance for an online course.</w:t>
      </w:r>
    </w:p>
    <w:p w14:paraId="52238E7E" w14:textId="77777777" w:rsidR="00AB5B5B" w:rsidRPr="00686501" w:rsidRDefault="00AB5B5B" w:rsidP="00360A1A">
      <w:pPr>
        <w:pStyle w:val="Default"/>
        <w:rPr>
          <w:rFonts w:ascii="Garamond" w:hAnsi="Garamond"/>
          <w:lang w:val="en-GB"/>
        </w:rPr>
      </w:pPr>
    </w:p>
    <w:p w14:paraId="391E4806" w14:textId="4B291CBE" w:rsidR="00360A1A" w:rsidRPr="00686501" w:rsidRDefault="0011609C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3</w:t>
      </w:r>
      <w:r w:rsidR="00360A1A" w:rsidRPr="00686501">
        <w:rPr>
          <w:rFonts w:ascii="Garamond" w:hAnsi="Garamond"/>
          <w:b/>
          <w:bCs/>
          <w:lang w:val="en-GB"/>
        </w:rPr>
        <w:t xml:space="preserve">. Can the Research Master be part of the TSP? </w:t>
      </w:r>
    </w:p>
    <w:p w14:paraId="59BDD642" w14:textId="3A1DA6B4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Research Master </w:t>
      </w:r>
      <w:r w:rsidR="00460C4E" w:rsidRPr="00686501">
        <w:rPr>
          <w:rFonts w:ascii="Garamond" w:hAnsi="Garamond"/>
          <w:lang w:val="en-GB"/>
        </w:rPr>
        <w:t xml:space="preserve">cluster (RMC) </w:t>
      </w:r>
      <w:r w:rsidRPr="00686501">
        <w:rPr>
          <w:rFonts w:ascii="Garamond" w:hAnsi="Garamond"/>
          <w:lang w:val="en-GB"/>
        </w:rPr>
        <w:t>courses done during your</w:t>
      </w:r>
      <w:r w:rsidRPr="00686501">
        <w:rPr>
          <w:rFonts w:ascii="Garamond" w:hAnsi="Garamond"/>
          <w:i/>
          <w:iCs/>
          <w:lang w:val="en-GB"/>
        </w:rPr>
        <w:t xml:space="preserve"> </w:t>
      </w:r>
      <w:r w:rsidRPr="00686501">
        <w:rPr>
          <w:rFonts w:ascii="Garamond" w:hAnsi="Garamond"/>
          <w:lang w:val="en-GB"/>
        </w:rPr>
        <w:t>MSc cannot count on the TSP (courses cannot count twice)</w:t>
      </w:r>
      <w:r w:rsidR="00B840FF" w:rsidRPr="00686501">
        <w:rPr>
          <w:rFonts w:ascii="Garamond" w:hAnsi="Garamond"/>
          <w:lang w:val="en-GB"/>
        </w:rPr>
        <w:t>.</w:t>
      </w:r>
      <w:r w:rsidRPr="00686501">
        <w:rPr>
          <w:rFonts w:ascii="Garamond" w:hAnsi="Garamond"/>
          <w:lang w:val="en-GB"/>
        </w:rPr>
        <w:t xml:space="preserve"> </w:t>
      </w:r>
    </w:p>
    <w:p w14:paraId="62D19823" w14:textId="7237FD7F" w:rsidR="00360A1A" w:rsidRPr="00686501" w:rsidRDefault="003756C9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iCs/>
          <w:lang w:val="en-GB"/>
        </w:rPr>
        <w:t xml:space="preserve">If your PhD proposal </w:t>
      </w:r>
      <w:r w:rsidR="00D82B5C">
        <w:rPr>
          <w:rFonts w:ascii="Garamond" w:hAnsi="Garamond"/>
          <w:iCs/>
          <w:lang w:val="en-GB"/>
        </w:rPr>
        <w:t>written</w:t>
      </w:r>
      <w:r w:rsidRPr="00686501">
        <w:rPr>
          <w:rFonts w:ascii="Garamond" w:hAnsi="Garamond"/>
          <w:iCs/>
          <w:lang w:val="en-GB"/>
        </w:rPr>
        <w:t xml:space="preserve"> during the </w:t>
      </w:r>
      <w:r w:rsidR="008D0C25">
        <w:rPr>
          <w:rFonts w:ascii="Garamond" w:hAnsi="Garamond"/>
          <w:iCs/>
          <w:lang w:val="en-GB"/>
        </w:rPr>
        <w:t>RCM</w:t>
      </w:r>
      <w:r w:rsidRPr="00686501">
        <w:rPr>
          <w:rFonts w:ascii="Garamond" w:hAnsi="Garamond"/>
          <w:iCs/>
          <w:lang w:val="en-GB"/>
        </w:rPr>
        <w:t xml:space="preserve"> course was granted funding, you can include</w:t>
      </w:r>
      <w:r w:rsidR="00172058" w:rsidRPr="00686501">
        <w:rPr>
          <w:rFonts w:ascii="Garamond" w:hAnsi="Garamond"/>
          <w:iCs/>
          <w:lang w:val="en-GB"/>
        </w:rPr>
        <w:t xml:space="preserve"> this</w:t>
      </w:r>
      <w:r w:rsidR="00044E26" w:rsidRPr="00686501">
        <w:rPr>
          <w:rFonts w:ascii="Garamond" w:hAnsi="Garamond"/>
          <w:lang w:val="en-GB"/>
        </w:rPr>
        <w:t xml:space="preserve"> </w:t>
      </w:r>
      <w:r w:rsidR="00360A1A" w:rsidRPr="00686501">
        <w:rPr>
          <w:rFonts w:ascii="Garamond" w:hAnsi="Garamond"/>
          <w:lang w:val="en-GB"/>
        </w:rPr>
        <w:t>on the TSP</w:t>
      </w:r>
      <w:r w:rsidR="00172058" w:rsidRPr="00686501">
        <w:rPr>
          <w:rFonts w:ascii="Garamond" w:hAnsi="Garamond"/>
          <w:lang w:val="en-GB"/>
        </w:rPr>
        <w:t>. You will receive a</w:t>
      </w:r>
      <w:r w:rsidR="00044E26" w:rsidRPr="00686501">
        <w:rPr>
          <w:rFonts w:ascii="Garamond" w:hAnsi="Garamond"/>
          <w:lang w:val="en-GB"/>
        </w:rPr>
        <w:t xml:space="preserve"> maximum</w:t>
      </w:r>
      <w:r w:rsidR="00360A1A" w:rsidRPr="00686501">
        <w:rPr>
          <w:rFonts w:ascii="Garamond" w:hAnsi="Garamond"/>
          <w:lang w:val="en-GB"/>
        </w:rPr>
        <w:t xml:space="preserve"> 6 ECTS </w:t>
      </w:r>
      <w:r w:rsidR="00044E26" w:rsidRPr="00686501">
        <w:rPr>
          <w:rFonts w:ascii="Garamond" w:hAnsi="Garamond"/>
          <w:lang w:val="en-GB"/>
        </w:rPr>
        <w:t xml:space="preserve">for proposal writing (TSP section </w:t>
      </w:r>
      <w:r w:rsidR="00172058" w:rsidRPr="00686501">
        <w:rPr>
          <w:rFonts w:ascii="Garamond" w:hAnsi="Garamond"/>
          <w:lang w:val="en-GB"/>
        </w:rPr>
        <w:t>“</w:t>
      </w:r>
      <w:r w:rsidR="0011609C" w:rsidRPr="00686501">
        <w:rPr>
          <w:rFonts w:ascii="Garamond" w:hAnsi="Garamond"/>
          <w:lang w:val="en-GB"/>
        </w:rPr>
        <w:t>Disciplinary Competences</w:t>
      </w:r>
      <w:r w:rsidR="00360A1A" w:rsidRPr="00686501">
        <w:rPr>
          <w:rFonts w:ascii="Garamond" w:hAnsi="Garamond"/>
          <w:lang w:val="en-GB"/>
        </w:rPr>
        <w:t>’’</w:t>
      </w:r>
      <w:r w:rsidR="00044E26" w:rsidRPr="00686501">
        <w:rPr>
          <w:rFonts w:ascii="Garamond" w:hAnsi="Garamond"/>
          <w:lang w:val="en-GB"/>
        </w:rPr>
        <w:t>).</w:t>
      </w:r>
    </w:p>
    <w:p w14:paraId="5E9F6BA4" w14:textId="77777777" w:rsidR="009748E3" w:rsidRPr="00686501" w:rsidRDefault="009748E3" w:rsidP="009748E3">
      <w:pPr>
        <w:pStyle w:val="Default"/>
        <w:rPr>
          <w:rFonts w:ascii="Garamond" w:hAnsi="Garamond"/>
          <w:lang w:val="en-GB"/>
        </w:rPr>
      </w:pPr>
    </w:p>
    <w:p w14:paraId="24F15B54" w14:textId="5C63D50D" w:rsidR="00360A1A" w:rsidRPr="00686501" w:rsidRDefault="00044E26" w:rsidP="009748E3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4</w:t>
      </w:r>
      <w:r w:rsidR="00360A1A" w:rsidRPr="00686501">
        <w:rPr>
          <w:rFonts w:ascii="Garamond" w:hAnsi="Garamond"/>
          <w:b/>
          <w:bCs/>
          <w:lang w:val="en-GB"/>
        </w:rPr>
        <w:t xml:space="preserve">. When and how </w:t>
      </w:r>
      <w:r w:rsidR="006A638B" w:rsidRPr="00686501">
        <w:rPr>
          <w:rFonts w:ascii="Garamond" w:hAnsi="Garamond"/>
          <w:b/>
          <w:bCs/>
          <w:lang w:val="en-GB"/>
        </w:rPr>
        <w:t xml:space="preserve">does </w:t>
      </w:r>
      <w:r w:rsidR="00360A1A" w:rsidRPr="00686501">
        <w:rPr>
          <w:rFonts w:ascii="Garamond" w:hAnsi="Garamond"/>
          <w:b/>
          <w:bCs/>
          <w:lang w:val="en-GB"/>
        </w:rPr>
        <w:t xml:space="preserve">an external training period </w:t>
      </w:r>
      <w:r w:rsidR="006A638B" w:rsidRPr="00686501">
        <w:rPr>
          <w:rFonts w:ascii="Garamond" w:hAnsi="Garamond"/>
          <w:b/>
          <w:bCs/>
          <w:lang w:val="en-GB"/>
        </w:rPr>
        <w:t xml:space="preserve">count </w:t>
      </w:r>
      <w:r w:rsidR="00360A1A" w:rsidRPr="00686501">
        <w:rPr>
          <w:rFonts w:ascii="Garamond" w:hAnsi="Garamond"/>
          <w:b/>
          <w:bCs/>
          <w:lang w:val="en-GB"/>
        </w:rPr>
        <w:t xml:space="preserve">on the TSP? </w:t>
      </w:r>
    </w:p>
    <w:p w14:paraId="5A497CCE" w14:textId="4E4183EE" w:rsidR="00360A1A" w:rsidRPr="00686501" w:rsidRDefault="00360A1A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 xml:space="preserve">An external training period for one month or more, </w:t>
      </w:r>
      <w:r w:rsidR="005D6EBD" w:rsidRPr="00686501">
        <w:rPr>
          <w:rFonts w:ascii="Garamond" w:hAnsi="Garamond"/>
          <w:lang w:val="en-GB"/>
        </w:rPr>
        <w:t>e.g.,</w:t>
      </w:r>
      <w:r w:rsidRPr="00686501">
        <w:rPr>
          <w:rFonts w:ascii="Garamond" w:hAnsi="Garamond"/>
          <w:lang w:val="en-GB"/>
        </w:rPr>
        <w:t xml:space="preserve"> at an external lab or a renowned institute abroad (not at your home institute or at W</w:t>
      </w:r>
      <w:r w:rsidR="006A638B" w:rsidRPr="00686501">
        <w:rPr>
          <w:rFonts w:ascii="Garamond" w:hAnsi="Garamond"/>
          <w:lang w:val="en-GB"/>
        </w:rPr>
        <w:t>UR</w:t>
      </w:r>
      <w:r w:rsidRPr="00686501">
        <w:rPr>
          <w:rFonts w:ascii="Garamond" w:hAnsi="Garamond"/>
          <w:lang w:val="en-GB"/>
        </w:rPr>
        <w:t xml:space="preserve">), counts for </w:t>
      </w:r>
      <w:r w:rsidR="00154B32" w:rsidRPr="00686501">
        <w:rPr>
          <w:rFonts w:ascii="Garamond" w:hAnsi="Garamond"/>
          <w:lang w:val="en-GB"/>
        </w:rPr>
        <w:t xml:space="preserve">a maximum of </w:t>
      </w:r>
      <w:r w:rsidRPr="00686501">
        <w:rPr>
          <w:rFonts w:ascii="Garamond" w:hAnsi="Garamond"/>
          <w:lang w:val="en-GB"/>
        </w:rPr>
        <w:t xml:space="preserve">2 ECTS. </w:t>
      </w:r>
      <w:r w:rsidR="006A638B" w:rsidRPr="00686501">
        <w:rPr>
          <w:rFonts w:ascii="Garamond" w:hAnsi="Garamond"/>
          <w:lang w:val="en-GB"/>
        </w:rPr>
        <w:t>In this case</w:t>
      </w:r>
      <w:r w:rsidR="00F03FC7" w:rsidRPr="00686501">
        <w:rPr>
          <w:rFonts w:ascii="Garamond" w:hAnsi="Garamond"/>
          <w:lang w:val="en-GB"/>
        </w:rPr>
        <w:t>,</w:t>
      </w:r>
      <w:r w:rsidR="006A638B" w:rsidRPr="00686501">
        <w:rPr>
          <w:rFonts w:ascii="Garamond" w:hAnsi="Garamond"/>
          <w:lang w:val="en-GB"/>
        </w:rPr>
        <w:t xml:space="preserve"> </w:t>
      </w:r>
      <w:r w:rsidR="00F03FC7" w:rsidRPr="00686501">
        <w:rPr>
          <w:rFonts w:ascii="Garamond" w:hAnsi="Garamond"/>
          <w:lang w:val="en-GB"/>
        </w:rPr>
        <w:t>the credit points are</w:t>
      </w:r>
      <w:r w:rsidR="006A638B" w:rsidRPr="00686501">
        <w:rPr>
          <w:rFonts w:ascii="Garamond" w:hAnsi="Garamond"/>
          <w:lang w:val="en-GB"/>
        </w:rPr>
        <w:t xml:space="preserve"> a</w:t>
      </w:r>
      <w:r w:rsidRPr="00686501">
        <w:rPr>
          <w:rFonts w:ascii="Garamond" w:hAnsi="Garamond"/>
          <w:lang w:val="en-GB"/>
        </w:rPr>
        <w:t xml:space="preserve">warded </w:t>
      </w:r>
      <w:r w:rsidR="00F03FC7" w:rsidRPr="00686501">
        <w:rPr>
          <w:rFonts w:ascii="Garamond" w:hAnsi="Garamond"/>
          <w:lang w:val="en-GB"/>
        </w:rPr>
        <w:t xml:space="preserve">for the </w:t>
      </w:r>
      <w:r w:rsidRPr="00686501">
        <w:rPr>
          <w:rFonts w:ascii="Garamond" w:hAnsi="Garamond"/>
          <w:lang w:val="en-GB"/>
        </w:rPr>
        <w:t>experience of being somewhere external</w:t>
      </w:r>
      <w:r w:rsidR="006A638B" w:rsidRPr="00686501">
        <w:rPr>
          <w:rFonts w:ascii="Garamond" w:hAnsi="Garamond"/>
          <w:lang w:val="en-GB"/>
        </w:rPr>
        <w:t xml:space="preserve"> where you get </w:t>
      </w:r>
      <w:r w:rsidR="00F03FC7" w:rsidRPr="00686501">
        <w:rPr>
          <w:rFonts w:ascii="Garamond" w:hAnsi="Garamond"/>
          <w:lang w:val="en-GB"/>
        </w:rPr>
        <w:t xml:space="preserve">a chance to get </w:t>
      </w:r>
      <w:r w:rsidR="006A638B" w:rsidRPr="00686501">
        <w:rPr>
          <w:rFonts w:ascii="Garamond" w:hAnsi="Garamond"/>
          <w:lang w:val="en-GB"/>
        </w:rPr>
        <w:t>individual training on new laboratory techniques</w:t>
      </w:r>
      <w:r w:rsidR="00F03FC7" w:rsidRPr="00686501">
        <w:rPr>
          <w:rFonts w:ascii="Garamond" w:hAnsi="Garamond"/>
          <w:lang w:val="en-GB"/>
        </w:rPr>
        <w:t xml:space="preserve">, build your professional network </w:t>
      </w:r>
      <w:r w:rsidR="006A638B" w:rsidRPr="00686501">
        <w:rPr>
          <w:rFonts w:ascii="Garamond" w:hAnsi="Garamond"/>
          <w:lang w:val="en-GB"/>
        </w:rPr>
        <w:t>etc.</w:t>
      </w:r>
      <w:r w:rsidR="00F03FC7" w:rsidRPr="00686501">
        <w:rPr>
          <w:rFonts w:ascii="Garamond" w:hAnsi="Garamond"/>
          <w:lang w:val="en-GB"/>
        </w:rPr>
        <w:t xml:space="preserve"> </w:t>
      </w:r>
      <w:r w:rsidR="00460C4E" w:rsidRPr="00686501">
        <w:rPr>
          <w:rFonts w:ascii="Garamond" w:hAnsi="Garamond"/>
          <w:lang w:val="en-GB"/>
        </w:rPr>
        <w:t>As proof of your visit, you should ask the lab you visited for an</w:t>
      </w:r>
      <w:r w:rsidR="0081468B" w:rsidRPr="00686501">
        <w:rPr>
          <w:rFonts w:ascii="Garamond" w:hAnsi="Garamond"/>
          <w:lang w:val="en-GB"/>
        </w:rPr>
        <w:t xml:space="preserve"> email or letter </w:t>
      </w:r>
      <w:r w:rsidR="00460C4E" w:rsidRPr="00686501">
        <w:rPr>
          <w:rFonts w:ascii="Garamond" w:hAnsi="Garamond"/>
          <w:lang w:val="en-GB"/>
        </w:rPr>
        <w:t>confirming the dates of your visit.</w:t>
      </w:r>
    </w:p>
    <w:p w14:paraId="5045DC20" w14:textId="77777777" w:rsidR="009748E3" w:rsidRPr="00686501" w:rsidRDefault="009748E3" w:rsidP="00360A1A">
      <w:pPr>
        <w:pStyle w:val="Default"/>
        <w:rPr>
          <w:rFonts w:ascii="Garamond" w:hAnsi="Garamond"/>
          <w:lang w:val="en-GB"/>
        </w:rPr>
      </w:pPr>
    </w:p>
    <w:p w14:paraId="231AAA0B" w14:textId="4CC9A657" w:rsidR="00360A1A" w:rsidRPr="00686501" w:rsidRDefault="00044E26" w:rsidP="00360A1A">
      <w:pPr>
        <w:pStyle w:val="Default"/>
        <w:rPr>
          <w:rFonts w:ascii="Garamond" w:hAnsi="Garamond"/>
          <w:lang w:val="en-GB"/>
        </w:rPr>
      </w:pPr>
      <w:r w:rsidRPr="00686501">
        <w:rPr>
          <w:rFonts w:ascii="Garamond" w:hAnsi="Garamond"/>
          <w:b/>
          <w:bCs/>
          <w:lang w:val="en-GB"/>
        </w:rPr>
        <w:t>1</w:t>
      </w:r>
      <w:r w:rsidR="00FA509A">
        <w:rPr>
          <w:rFonts w:ascii="Garamond" w:hAnsi="Garamond"/>
          <w:b/>
          <w:bCs/>
          <w:lang w:val="en-GB"/>
        </w:rPr>
        <w:t>5</w:t>
      </w:r>
      <w:r w:rsidR="00360A1A" w:rsidRPr="00686501">
        <w:rPr>
          <w:rFonts w:ascii="Garamond" w:hAnsi="Garamond"/>
          <w:b/>
          <w:bCs/>
          <w:lang w:val="en-GB"/>
        </w:rPr>
        <w:t xml:space="preserve">. </w:t>
      </w:r>
      <w:r w:rsidR="00ED1A90" w:rsidRPr="00686501">
        <w:rPr>
          <w:rFonts w:ascii="Garamond" w:hAnsi="Garamond"/>
          <w:b/>
          <w:bCs/>
          <w:lang w:val="en-GB"/>
        </w:rPr>
        <w:t>Professional competences: m</w:t>
      </w:r>
      <w:r w:rsidR="00360A1A" w:rsidRPr="00686501">
        <w:rPr>
          <w:rFonts w:ascii="Garamond" w:hAnsi="Garamond"/>
          <w:b/>
          <w:bCs/>
          <w:lang w:val="en-GB"/>
        </w:rPr>
        <w:t xml:space="preserve">anagement skills training, how many credits? </w:t>
      </w:r>
    </w:p>
    <w:p w14:paraId="50FA297C" w14:textId="0067F8FB" w:rsidR="001C7E83" w:rsidRPr="00686501" w:rsidRDefault="001C7E83" w:rsidP="000F6755">
      <w:pPr>
        <w:pStyle w:val="Default"/>
        <w:numPr>
          <w:ilvl w:val="0"/>
          <w:numId w:val="9"/>
        </w:numPr>
        <w:rPr>
          <w:rFonts w:ascii="Garamond" w:hAnsi="Garamond"/>
          <w:lang w:val="en-GB"/>
        </w:rPr>
      </w:pPr>
      <w:r w:rsidRPr="00686501">
        <w:rPr>
          <w:rFonts w:ascii="Garamond" w:hAnsi="Garamond"/>
          <w:lang w:val="en-GB"/>
        </w:rPr>
        <w:t>O</w:t>
      </w:r>
      <w:r w:rsidR="00360A1A" w:rsidRPr="00686501">
        <w:rPr>
          <w:rFonts w:ascii="Garamond" w:hAnsi="Garamond"/>
          <w:lang w:val="en-GB"/>
        </w:rPr>
        <w:t xml:space="preserve">rganizing a seminar or conference usually counts for 1 </w:t>
      </w:r>
      <w:r w:rsidR="00ED1A90" w:rsidRPr="00686501">
        <w:rPr>
          <w:rFonts w:ascii="Garamond" w:hAnsi="Garamond"/>
          <w:lang w:val="en-GB"/>
        </w:rPr>
        <w:t>to</w:t>
      </w:r>
      <w:r w:rsidR="009748E3" w:rsidRPr="00686501">
        <w:rPr>
          <w:rFonts w:ascii="Garamond" w:hAnsi="Garamond"/>
          <w:lang w:val="en-GB"/>
        </w:rPr>
        <w:t xml:space="preserve"> 2</w:t>
      </w:r>
      <w:r w:rsidR="00360A1A" w:rsidRPr="00686501">
        <w:rPr>
          <w:rFonts w:ascii="Garamond" w:hAnsi="Garamond"/>
          <w:lang w:val="en-GB"/>
        </w:rPr>
        <w:t xml:space="preserve"> ECTS</w:t>
      </w:r>
      <w:r w:rsidR="00163E0C" w:rsidRPr="00686501">
        <w:rPr>
          <w:rFonts w:ascii="Garamond" w:hAnsi="Garamond"/>
          <w:lang w:val="en-GB"/>
        </w:rPr>
        <w:t xml:space="preserve"> maximum</w:t>
      </w:r>
      <w:r w:rsidR="00360A1A" w:rsidRPr="00686501">
        <w:rPr>
          <w:rFonts w:ascii="Garamond" w:hAnsi="Garamond"/>
          <w:lang w:val="en-GB"/>
        </w:rPr>
        <w:t xml:space="preserve">. </w:t>
      </w:r>
    </w:p>
    <w:p w14:paraId="0C508629" w14:textId="7C393189" w:rsidR="00163E0C" w:rsidRPr="00686501" w:rsidRDefault="00163E0C" w:rsidP="000F6755">
      <w:pPr>
        <w:pStyle w:val="Default"/>
        <w:numPr>
          <w:ilvl w:val="0"/>
          <w:numId w:val="9"/>
        </w:numPr>
        <w:rPr>
          <w:rFonts w:ascii="Garamond" w:hAnsi="Garamond"/>
          <w:lang w:val="en-US"/>
        </w:rPr>
      </w:pPr>
      <w:r w:rsidRPr="00686501">
        <w:rPr>
          <w:rFonts w:ascii="Garamond" w:hAnsi="Garamond"/>
          <w:lang w:val="en-US"/>
        </w:rPr>
        <w:t>Organizing the WIAS Science Day/WIAS Annual Conference counts for 2 ECTS</w:t>
      </w:r>
      <w:r w:rsidR="000F6755" w:rsidRPr="00686501">
        <w:rPr>
          <w:rFonts w:ascii="Garamond" w:hAnsi="Garamond"/>
          <w:lang w:val="en-US"/>
        </w:rPr>
        <w:t>.</w:t>
      </w:r>
    </w:p>
    <w:p w14:paraId="173F0A68" w14:textId="51187F3F" w:rsidR="00163E0C" w:rsidRPr="00686501" w:rsidRDefault="00360A1A" w:rsidP="000F6755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For membership of a scientific board or committee (</w:t>
      </w:r>
      <w:r w:rsidR="0025576A" w:rsidRPr="00686501">
        <w:rPr>
          <w:rFonts w:ascii="Garamond" w:hAnsi="Garamond"/>
          <w:sz w:val="24"/>
          <w:szCs w:val="24"/>
        </w:rPr>
        <w:t>e.g.,</w:t>
      </w:r>
      <w:r w:rsidRPr="00686501">
        <w:rPr>
          <w:rFonts w:ascii="Garamond" w:hAnsi="Garamond"/>
          <w:sz w:val="24"/>
          <w:szCs w:val="24"/>
        </w:rPr>
        <w:t xml:space="preserve"> chairman, </w:t>
      </w:r>
      <w:r w:rsidR="001C7E83" w:rsidRPr="00686501">
        <w:rPr>
          <w:rFonts w:ascii="Garamond" w:hAnsi="Garamond"/>
          <w:sz w:val="24"/>
          <w:szCs w:val="24"/>
        </w:rPr>
        <w:t xml:space="preserve">secretary, education committee) </w:t>
      </w:r>
      <w:r w:rsidRPr="00686501">
        <w:rPr>
          <w:rFonts w:ascii="Garamond" w:hAnsi="Garamond"/>
          <w:sz w:val="24"/>
          <w:szCs w:val="24"/>
        </w:rPr>
        <w:t>credits depend on workload</w:t>
      </w:r>
      <w:r w:rsidR="00163E0C" w:rsidRPr="00686501">
        <w:rPr>
          <w:rFonts w:ascii="Garamond" w:hAnsi="Garamond"/>
          <w:sz w:val="24"/>
          <w:szCs w:val="24"/>
        </w:rPr>
        <w:t xml:space="preserve"> (maximum of 2 ECTS)</w:t>
      </w:r>
      <w:r w:rsidRPr="00686501">
        <w:rPr>
          <w:rFonts w:ascii="Garamond" w:hAnsi="Garamond"/>
          <w:sz w:val="24"/>
          <w:szCs w:val="24"/>
        </w:rPr>
        <w:t>.</w:t>
      </w:r>
      <w:r w:rsidR="00163E0C" w:rsidRPr="00686501">
        <w:rPr>
          <w:rFonts w:ascii="Garamond" w:hAnsi="Garamond"/>
          <w:sz w:val="24"/>
          <w:szCs w:val="24"/>
        </w:rPr>
        <w:t xml:space="preserve"> </w:t>
      </w:r>
    </w:p>
    <w:p w14:paraId="28164A72" w14:textId="392E4516" w:rsidR="003034C8" w:rsidRPr="00686501" w:rsidRDefault="00360A1A" w:rsidP="000F6755">
      <w:pPr>
        <w:pStyle w:val="ListParagraph"/>
        <w:numPr>
          <w:ilvl w:val="0"/>
          <w:numId w:val="9"/>
        </w:numPr>
        <w:spacing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For information on WAPS council functions</w:t>
      </w:r>
      <w:r w:rsidR="00163E0C" w:rsidRPr="00686501">
        <w:rPr>
          <w:rFonts w:ascii="Garamond" w:hAnsi="Garamond"/>
          <w:sz w:val="24"/>
          <w:szCs w:val="24"/>
        </w:rPr>
        <w:t>,</w:t>
      </w:r>
      <w:r w:rsidRPr="00686501">
        <w:rPr>
          <w:rFonts w:ascii="Garamond" w:hAnsi="Garamond"/>
          <w:sz w:val="24"/>
          <w:szCs w:val="24"/>
        </w:rPr>
        <w:t xml:space="preserve"> see the WAPS page</w:t>
      </w:r>
      <w:r w:rsidR="00163E0C" w:rsidRPr="00686501">
        <w:rPr>
          <w:rFonts w:ascii="Garamond" w:hAnsi="Garamond"/>
          <w:sz w:val="24"/>
          <w:szCs w:val="24"/>
        </w:rPr>
        <w:t xml:space="preserve"> on the WIAS website</w:t>
      </w:r>
      <w:r w:rsidR="000F6755" w:rsidRPr="00686501">
        <w:rPr>
          <w:rFonts w:ascii="Garamond" w:hAnsi="Garamond"/>
          <w:sz w:val="24"/>
          <w:szCs w:val="24"/>
        </w:rPr>
        <w:t>.</w:t>
      </w:r>
    </w:p>
    <w:p w14:paraId="3F1D419F" w14:textId="74AFB3C7" w:rsidR="000F6755" w:rsidRPr="00686501" w:rsidRDefault="000F6755" w:rsidP="000F6755">
      <w:pPr>
        <w:pStyle w:val="ListParagraph"/>
        <w:numPr>
          <w:ilvl w:val="0"/>
          <w:numId w:val="9"/>
        </w:numPr>
        <w:spacing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Members of the WIAS magazine board (1 ECTS for 1 year and a maximum of 3 ECTS)</w:t>
      </w:r>
    </w:p>
    <w:p w14:paraId="55387B64" w14:textId="4DB4441F" w:rsidR="00163E0C" w:rsidRPr="00686501" w:rsidRDefault="00163E0C" w:rsidP="00163E0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86501">
        <w:rPr>
          <w:rFonts w:ascii="Garamond" w:hAnsi="Garamond"/>
          <w:b/>
          <w:sz w:val="24"/>
          <w:szCs w:val="24"/>
        </w:rPr>
        <w:t>1</w:t>
      </w:r>
      <w:r w:rsidR="00FA509A">
        <w:rPr>
          <w:rFonts w:ascii="Garamond" w:hAnsi="Garamond"/>
          <w:b/>
          <w:sz w:val="24"/>
          <w:szCs w:val="24"/>
        </w:rPr>
        <w:t>6</w:t>
      </w:r>
      <w:r w:rsidRPr="00686501">
        <w:rPr>
          <w:rFonts w:ascii="Garamond" w:hAnsi="Garamond"/>
          <w:b/>
          <w:sz w:val="24"/>
          <w:szCs w:val="24"/>
        </w:rPr>
        <w:t>. Is writing the PhD proposal a course?</w:t>
      </w:r>
    </w:p>
    <w:p w14:paraId="379D7AFF" w14:textId="42BFC259" w:rsidR="00163E0C" w:rsidRPr="00686501" w:rsidRDefault="00163E0C" w:rsidP="00163E0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No</w:t>
      </w:r>
      <w:r w:rsidR="005B463D" w:rsidRPr="00686501">
        <w:rPr>
          <w:rFonts w:ascii="Garamond" w:hAnsi="Garamond"/>
          <w:bCs/>
          <w:sz w:val="24"/>
          <w:szCs w:val="24"/>
        </w:rPr>
        <w:t>,</w:t>
      </w:r>
      <w:r w:rsidRPr="00686501">
        <w:rPr>
          <w:rFonts w:ascii="Garamond" w:hAnsi="Garamond"/>
          <w:bCs/>
          <w:sz w:val="24"/>
          <w:szCs w:val="24"/>
        </w:rPr>
        <w:t xml:space="preserve"> this is not a course. </w:t>
      </w:r>
    </w:p>
    <w:p w14:paraId="68105277" w14:textId="77777777" w:rsidR="00163E0C" w:rsidRPr="00686501" w:rsidRDefault="00163E0C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3B0BDE0" w14:textId="5FCF296C" w:rsidR="00E54557" w:rsidRPr="00686501" w:rsidRDefault="00E54557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86501">
        <w:rPr>
          <w:rFonts w:ascii="Garamond" w:hAnsi="Garamond"/>
          <w:b/>
          <w:sz w:val="24"/>
          <w:szCs w:val="24"/>
        </w:rPr>
        <w:t>1</w:t>
      </w:r>
      <w:r w:rsidR="00FA509A">
        <w:rPr>
          <w:rFonts w:ascii="Garamond" w:hAnsi="Garamond"/>
          <w:b/>
          <w:sz w:val="24"/>
          <w:szCs w:val="24"/>
        </w:rPr>
        <w:t>7</w:t>
      </w:r>
      <w:r w:rsidRPr="00686501">
        <w:rPr>
          <w:rFonts w:ascii="Garamond" w:hAnsi="Garamond"/>
          <w:b/>
          <w:sz w:val="24"/>
          <w:szCs w:val="24"/>
        </w:rPr>
        <w:t>. How much credits do I receive for supervision of BSc and MSc students?</w:t>
      </w:r>
    </w:p>
    <w:p w14:paraId="512D3688" w14:textId="77777777" w:rsidR="00E54557" w:rsidRPr="00686501" w:rsidRDefault="00E54557" w:rsidP="00F67CC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For supervision of:</w:t>
      </w:r>
    </w:p>
    <w:p w14:paraId="3E2E0B7B" w14:textId="42CC5ACC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 xml:space="preserve">A </w:t>
      </w:r>
      <w:r w:rsidR="0025576A" w:rsidRPr="00686501">
        <w:rPr>
          <w:rFonts w:ascii="Garamond" w:hAnsi="Garamond"/>
          <w:bCs/>
          <w:sz w:val="24"/>
          <w:szCs w:val="24"/>
        </w:rPr>
        <w:t>BSc student</w:t>
      </w:r>
      <w:r w:rsidRPr="00686501">
        <w:rPr>
          <w:rFonts w:ascii="Garamond" w:hAnsi="Garamond"/>
          <w:bCs/>
          <w:sz w:val="24"/>
          <w:szCs w:val="24"/>
        </w:rPr>
        <w:t xml:space="preserve"> </w:t>
      </w:r>
      <w:r w:rsidRPr="00686501">
        <w:rPr>
          <w:rFonts w:ascii="Garamond" w:hAnsi="Garamond"/>
          <w:bCs/>
          <w:sz w:val="24"/>
          <w:szCs w:val="24"/>
        </w:rPr>
        <w:tab/>
      </w:r>
      <w:r w:rsidRPr="00686501">
        <w:rPr>
          <w:rFonts w:ascii="Garamond" w:hAnsi="Garamond"/>
          <w:bCs/>
          <w:sz w:val="24"/>
          <w:szCs w:val="24"/>
        </w:rPr>
        <w:tab/>
        <w:t>1 ECTS</w:t>
      </w:r>
    </w:p>
    <w:p w14:paraId="755760FB" w14:textId="74AB1998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 xml:space="preserve">An internship student </w:t>
      </w:r>
      <w:r w:rsidRPr="00686501">
        <w:rPr>
          <w:rFonts w:ascii="Garamond" w:hAnsi="Garamond"/>
          <w:bCs/>
          <w:sz w:val="24"/>
          <w:szCs w:val="24"/>
        </w:rPr>
        <w:tab/>
        <w:t>1 ECTS</w:t>
      </w:r>
    </w:p>
    <w:p w14:paraId="6301C1F8" w14:textId="55679EF6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An MSc minor student</w:t>
      </w:r>
      <w:r w:rsidRPr="00686501">
        <w:rPr>
          <w:rFonts w:ascii="Garamond" w:hAnsi="Garamond"/>
          <w:bCs/>
          <w:sz w:val="24"/>
          <w:szCs w:val="24"/>
        </w:rPr>
        <w:tab/>
        <w:t>1.5 ECTS</w:t>
      </w:r>
    </w:p>
    <w:p w14:paraId="034A3244" w14:textId="35CF25A6" w:rsidR="00E54557" w:rsidRPr="00686501" w:rsidRDefault="00E54557" w:rsidP="00C706C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>An MSc major student</w:t>
      </w:r>
      <w:r w:rsidRPr="00686501">
        <w:rPr>
          <w:rFonts w:ascii="Garamond" w:hAnsi="Garamond"/>
          <w:bCs/>
          <w:sz w:val="24"/>
          <w:szCs w:val="24"/>
        </w:rPr>
        <w:tab/>
        <w:t>2 ECTS</w:t>
      </w:r>
    </w:p>
    <w:p w14:paraId="657DF00D" w14:textId="35A0AEE4" w:rsidR="00E54557" w:rsidRPr="00686501" w:rsidRDefault="00E54557" w:rsidP="00E54557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0623B44" w14:textId="13265868" w:rsidR="00E54557" w:rsidRPr="00686501" w:rsidRDefault="00265EE3" w:rsidP="00E5455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86501">
        <w:rPr>
          <w:rFonts w:ascii="Garamond" w:hAnsi="Garamond"/>
          <w:bCs/>
          <w:sz w:val="24"/>
          <w:szCs w:val="24"/>
        </w:rPr>
        <w:t xml:space="preserve">More information on WUR teaching rules can be found </w:t>
      </w:r>
      <w:hyperlink r:id="rId10" w:history="1">
        <w:r w:rsidRPr="00686501">
          <w:rPr>
            <w:rStyle w:val="Hyperlink"/>
            <w:rFonts w:ascii="Garamond" w:hAnsi="Garamond"/>
            <w:bCs/>
            <w:sz w:val="24"/>
            <w:szCs w:val="24"/>
          </w:rPr>
          <w:t>here</w:t>
        </w:r>
      </w:hyperlink>
      <w:r w:rsidRPr="00686501">
        <w:rPr>
          <w:rFonts w:ascii="Garamond" w:hAnsi="Garamond"/>
          <w:bCs/>
          <w:sz w:val="24"/>
          <w:szCs w:val="24"/>
        </w:rPr>
        <w:t>.</w:t>
      </w:r>
    </w:p>
    <w:p w14:paraId="74E0D848" w14:textId="77777777" w:rsidR="00E54557" w:rsidRPr="00686501" w:rsidRDefault="00E54557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53AE985" w14:textId="77777777" w:rsidR="0064607C" w:rsidRDefault="0064607C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A32CD6E" w14:textId="3B520948" w:rsidR="00856EFC" w:rsidRPr="00686501" w:rsidRDefault="00856EFC" w:rsidP="00F67CC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86501">
        <w:rPr>
          <w:rFonts w:ascii="Garamond" w:hAnsi="Garamond"/>
          <w:b/>
          <w:sz w:val="24"/>
          <w:szCs w:val="24"/>
        </w:rPr>
        <w:t>1</w:t>
      </w:r>
      <w:r w:rsidR="00FA509A">
        <w:rPr>
          <w:rFonts w:ascii="Garamond" w:hAnsi="Garamond"/>
          <w:b/>
          <w:sz w:val="24"/>
          <w:szCs w:val="24"/>
        </w:rPr>
        <w:t>8</w:t>
      </w:r>
      <w:r w:rsidRPr="00686501">
        <w:rPr>
          <w:rFonts w:ascii="Garamond" w:hAnsi="Garamond"/>
          <w:b/>
          <w:sz w:val="24"/>
          <w:szCs w:val="24"/>
        </w:rPr>
        <w:t xml:space="preserve">. </w:t>
      </w:r>
      <w:r w:rsidR="00451E0B" w:rsidRPr="00686501">
        <w:rPr>
          <w:rFonts w:ascii="Garamond" w:hAnsi="Garamond"/>
          <w:b/>
          <w:sz w:val="24"/>
          <w:szCs w:val="24"/>
        </w:rPr>
        <w:t>When and h</w:t>
      </w:r>
      <w:r w:rsidRPr="00686501">
        <w:rPr>
          <w:rFonts w:ascii="Garamond" w:hAnsi="Garamond"/>
          <w:b/>
          <w:sz w:val="24"/>
          <w:szCs w:val="24"/>
        </w:rPr>
        <w:t>ow to apply for the certificate of PhD education?</w:t>
      </w:r>
    </w:p>
    <w:p w14:paraId="09FFE2E2" w14:textId="0FBA63CB" w:rsidR="003034C8" w:rsidRPr="00686501" w:rsidRDefault="00F67CCD" w:rsidP="00F67CCD">
      <w:pPr>
        <w:spacing w:after="0" w:line="240" w:lineRule="auto"/>
        <w:rPr>
          <w:rFonts w:ascii="Garamond" w:hAnsi="Garamond"/>
          <w:sz w:val="24"/>
          <w:szCs w:val="24"/>
        </w:rPr>
      </w:pPr>
      <w:r w:rsidRPr="00686501">
        <w:rPr>
          <w:rFonts w:ascii="Garamond" w:hAnsi="Garamond"/>
          <w:sz w:val="24"/>
          <w:szCs w:val="24"/>
        </w:rPr>
        <w:t>Not later than 15 weeks before defence</w:t>
      </w:r>
      <w:r w:rsidR="007E4706" w:rsidRPr="00686501">
        <w:rPr>
          <w:rFonts w:ascii="Garamond" w:hAnsi="Garamond"/>
          <w:sz w:val="24"/>
          <w:szCs w:val="24"/>
        </w:rPr>
        <w:t xml:space="preserve">, you can </w:t>
      </w:r>
      <w:r w:rsidRPr="00686501">
        <w:rPr>
          <w:rFonts w:ascii="Garamond" w:hAnsi="Garamond"/>
          <w:sz w:val="24"/>
          <w:szCs w:val="24"/>
        </w:rPr>
        <w:t xml:space="preserve">submit </w:t>
      </w:r>
      <w:r w:rsidR="007E4706" w:rsidRPr="00686501">
        <w:rPr>
          <w:rFonts w:ascii="Garamond" w:hAnsi="Garamond"/>
          <w:sz w:val="24"/>
          <w:szCs w:val="24"/>
        </w:rPr>
        <w:t>the following to</w:t>
      </w:r>
      <w:r w:rsidRPr="00686501">
        <w:rPr>
          <w:rFonts w:ascii="Garamond" w:hAnsi="Garamond"/>
          <w:sz w:val="24"/>
          <w:szCs w:val="24"/>
        </w:rPr>
        <w:t xml:space="preserve"> </w:t>
      </w:r>
      <w:r w:rsidR="00D96904" w:rsidRPr="00686501">
        <w:rPr>
          <w:rFonts w:ascii="Garamond" w:hAnsi="Garamond"/>
          <w:sz w:val="24"/>
          <w:szCs w:val="24"/>
        </w:rPr>
        <w:t>wias@wur.nl</w:t>
      </w:r>
      <w:r w:rsidRPr="00686501">
        <w:rPr>
          <w:rFonts w:ascii="Garamond" w:hAnsi="Garamond"/>
          <w:sz w:val="24"/>
          <w:szCs w:val="24"/>
        </w:rPr>
        <w:t>:</w:t>
      </w:r>
    </w:p>
    <w:p w14:paraId="12B0EF35" w14:textId="77777777" w:rsidR="001D5E11" w:rsidRPr="001D5E11" w:rsidRDefault="00F67CCD" w:rsidP="00451E0B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17"/>
        </w:rPr>
      </w:pPr>
      <w:r w:rsidRPr="001D5E11">
        <w:rPr>
          <w:rFonts w:ascii="Garamond" w:hAnsi="Garamond"/>
          <w:sz w:val="24"/>
          <w:szCs w:val="24"/>
        </w:rPr>
        <w:t xml:space="preserve">proofs of the education </w:t>
      </w:r>
      <w:r w:rsidR="007E4706" w:rsidRPr="001D5E11">
        <w:rPr>
          <w:rFonts w:ascii="Garamond" w:hAnsi="Garamond"/>
          <w:sz w:val="24"/>
          <w:szCs w:val="24"/>
        </w:rPr>
        <w:t xml:space="preserve">and training </w:t>
      </w:r>
      <w:r w:rsidRPr="001D5E11">
        <w:rPr>
          <w:rFonts w:ascii="Garamond" w:hAnsi="Garamond"/>
          <w:sz w:val="24"/>
          <w:szCs w:val="24"/>
        </w:rPr>
        <w:t>done, like course certificates or other proofs</w:t>
      </w:r>
      <w:r w:rsidR="001D5E11" w:rsidRPr="001D5E11">
        <w:rPr>
          <w:rFonts w:ascii="Garamond" w:hAnsi="Garamond"/>
          <w:sz w:val="24"/>
          <w:szCs w:val="24"/>
        </w:rPr>
        <w:t xml:space="preserve">. </w:t>
      </w:r>
    </w:p>
    <w:p w14:paraId="6C753690" w14:textId="1F1EC16D" w:rsidR="00451E0B" w:rsidRPr="001D5E11" w:rsidRDefault="00F67CCD" w:rsidP="00451E0B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17"/>
        </w:rPr>
      </w:pPr>
      <w:r w:rsidRPr="001D5E11">
        <w:rPr>
          <w:rFonts w:ascii="Garamond" w:hAnsi="Garamond"/>
          <w:sz w:val="24"/>
          <w:szCs w:val="24"/>
        </w:rPr>
        <w:lastRenderedPageBreak/>
        <w:t>the electronic excel file of the final TSP</w:t>
      </w:r>
      <w:r w:rsidR="002F6CC4" w:rsidRPr="001D5E11">
        <w:rPr>
          <w:rFonts w:ascii="Garamond" w:hAnsi="Garamond"/>
          <w:sz w:val="24"/>
          <w:szCs w:val="24"/>
        </w:rPr>
        <w:t xml:space="preserve"> </w:t>
      </w:r>
      <w:r w:rsidR="007E4706" w:rsidRPr="001D5E11">
        <w:rPr>
          <w:rFonts w:ascii="Garamond" w:hAnsi="Garamond"/>
          <w:sz w:val="24"/>
          <w:szCs w:val="24"/>
        </w:rPr>
        <w:t>and a signed PDF c</w:t>
      </w:r>
      <w:r w:rsidR="00CF10B5" w:rsidRPr="001D5E11">
        <w:rPr>
          <w:rFonts w:ascii="Garamond" w:hAnsi="Garamond"/>
          <w:sz w:val="24"/>
          <w:szCs w:val="24"/>
        </w:rPr>
        <w:t>o</w:t>
      </w:r>
      <w:r w:rsidR="007E4706" w:rsidRPr="001D5E11">
        <w:rPr>
          <w:rFonts w:ascii="Garamond" w:hAnsi="Garamond"/>
          <w:sz w:val="24"/>
          <w:szCs w:val="24"/>
        </w:rPr>
        <w:t xml:space="preserve">py </w:t>
      </w:r>
      <w:r w:rsidR="00CF10B5" w:rsidRPr="001D5E11">
        <w:rPr>
          <w:rFonts w:ascii="Garamond" w:hAnsi="Garamond"/>
          <w:sz w:val="24"/>
          <w:szCs w:val="24"/>
        </w:rPr>
        <w:t>(both by supervisor and PhD candidate)</w:t>
      </w:r>
      <w:r w:rsidR="009D1EF0">
        <w:rPr>
          <w:rFonts w:ascii="Garamond" w:hAnsi="Garamond"/>
          <w:sz w:val="24"/>
          <w:szCs w:val="24"/>
        </w:rPr>
        <w:t>.</w:t>
      </w:r>
    </w:p>
    <w:p w14:paraId="67BB2EC4" w14:textId="77777777" w:rsidR="00451E0B" w:rsidRPr="00856EFC" w:rsidRDefault="00451E0B" w:rsidP="00451E0B">
      <w:pPr>
        <w:spacing w:line="240" w:lineRule="auto"/>
        <w:rPr>
          <w:b/>
        </w:rPr>
      </w:pPr>
    </w:p>
    <w:sectPr w:rsidR="00451E0B" w:rsidRPr="00856EF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52F4" w14:textId="77777777" w:rsidR="00683C66" w:rsidRDefault="00683C66" w:rsidP="00683C66">
      <w:pPr>
        <w:spacing w:after="0" w:line="240" w:lineRule="auto"/>
      </w:pPr>
      <w:r>
        <w:separator/>
      </w:r>
    </w:p>
  </w:endnote>
  <w:endnote w:type="continuationSeparator" w:id="0">
    <w:p w14:paraId="515FA61F" w14:textId="77777777" w:rsidR="00683C66" w:rsidRDefault="00683C66" w:rsidP="0068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F894" w14:textId="77777777" w:rsidR="00683C66" w:rsidRDefault="00683C66" w:rsidP="00683C66">
      <w:pPr>
        <w:spacing w:after="0" w:line="240" w:lineRule="auto"/>
      </w:pPr>
      <w:r>
        <w:separator/>
      </w:r>
    </w:p>
  </w:footnote>
  <w:footnote w:type="continuationSeparator" w:id="0">
    <w:p w14:paraId="59112624" w14:textId="77777777" w:rsidR="00683C66" w:rsidRDefault="00683C66" w:rsidP="0068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875B" w14:textId="1175F0E3" w:rsidR="00683C66" w:rsidRDefault="00683C66" w:rsidP="00683C66">
    <w:pPr>
      <w:pStyle w:val="Header"/>
      <w:jc w:val="right"/>
    </w:pPr>
    <w:r>
      <w:rPr>
        <w:noProof/>
      </w:rPr>
      <w:drawing>
        <wp:inline distT="0" distB="0" distL="0" distR="0" wp14:anchorId="077DC6B0" wp14:editId="7F3C1531">
          <wp:extent cx="609341" cy="609341"/>
          <wp:effectExtent l="0" t="0" r="635" b="635"/>
          <wp:docPr id="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80" cy="61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D2D3" w14:textId="77777777" w:rsidR="00683C66" w:rsidRDefault="00683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433"/>
    <w:multiLevelType w:val="hybridMultilevel"/>
    <w:tmpl w:val="AF2826D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D50F5"/>
    <w:multiLevelType w:val="hybridMultilevel"/>
    <w:tmpl w:val="0CC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E75"/>
    <w:multiLevelType w:val="hybridMultilevel"/>
    <w:tmpl w:val="10806502"/>
    <w:lvl w:ilvl="0" w:tplc="345E4F98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EED"/>
    <w:multiLevelType w:val="hybridMultilevel"/>
    <w:tmpl w:val="B4968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23DD"/>
    <w:multiLevelType w:val="hybridMultilevel"/>
    <w:tmpl w:val="1C94A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604EB"/>
    <w:multiLevelType w:val="hybridMultilevel"/>
    <w:tmpl w:val="B4268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1E0A"/>
    <w:multiLevelType w:val="hybridMultilevel"/>
    <w:tmpl w:val="4F82BC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2C6A"/>
    <w:multiLevelType w:val="hybridMultilevel"/>
    <w:tmpl w:val="C220F6D8"/>
    <w:lvl w:ilvl="0" w:tplc="54BE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641D"/>
    <w:multiLevelType w:val="hybridMultilevel"/>
    <w:tmpl w:val="BA04B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6AAC"/>
    <w:multiLevelType w:val="hybridMultilevel"/>
    <w:tmpl w:val="253E2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36984"/>
    <w:multiLevelType w:val="hybridMultilevel"/>
    <w:tmpl w:val="E63AB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227C2"/>
    <w:multiLevelType w:val="hybridMultilevel"/>
    <w:tmpl w:val="DBBEB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00490"/>
    <w:multiLevelType w:val="hybridMultilevel"/>
    <w:tmpl w:val="DA523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7D42"/>
    <w:multiLevelType w:val="hybridMultilevel"/>
    <w:tmpl w:val="EB6AE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25040">
    <w:abstractNumId w:val="5"/>
  </w:num>
  <w:num w:numId="2" w16cid:durableId="1629967968">
    <w:abstractNumId w:val="13"/>
  </w:num>
  <w:num w:numId="3" w16cid:durableId="1403332504">
    <w:abstractNumId w:val="3"/>
  </w:num>
  <w:num w:numId="4" w16cid:durableId="1362826965">
    <w:abstractNumId w:val="6"/>
  </w:num>
  <w:num w:numId="5" w16cid:durableId="1883784050">
    <w:abstractNumId w:val="4"/>
  </w:num>
  <w:num w:numId="6" w16cid:durableId="1481311811">
    <w:abstractNumId w:val="8"/>
  </w:num>
  <w:num w:numId="7" w16cid:durableId="41637470">
    <w:abstractNumId w:val="1"/>
  </w:num>
  <w:num w:numId="8" w16cid:durableId="1272320296">
    <w:abstractNumId w:val="12"/>
  </w:num>
  <w:num w:numId="9" w16cid:durableId="1089815268">
    <w:abstractNumId w:val="11"/>
  </w:num>
  <w:num w:numId="10" w16cid:durableId="53968230">
    <w:abstractNumId w:val="9"/>
  </w:num>
  <w:num w:numId="11" w16cid:durableId="1298101044">
    <w:abstractNumId w:val="10"/>
  </w:num>
  <w:num w:numId="12" w16cid:durableId="651182027">
    <w:abstractNumId w:val="2"/>
  </w:num>
  <w:num w:numId="13" w16cid:durableId="450779925">
    <w:abstractNumId w:val="0"/>
  </w:num>
  <w:num w:numId="14" w16cid:durableId="2039504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1A"/>
    <w:rsid w:val="00012373"/>
    <w:rsid w:val="00044E26"/>
    <w:rsid w:val="000C7AD3"/>
    <w:rsid w:val="000D318C"/>
    <w:rsid w:val="000F6755"/>
    <w:rsid w:val="0011609C"/>
    <w:rsid w:val="00154B32"/>
    <w:rsid w:val="00163E0C"/>
    <w:rsid w:val="00172058"/>
    <w:rsid w:val="001A7C42"/>
    <w:rsid w:val="001B5A3A"/>
    <w:rsid w:val="001C7E83"/>
    <w:rsid w:val="001D5E11"/>
    <w:rsid w:val="001E0E81"/>
    <w:rsid w:val="001F3DA9"/>
    <w:rsid w:val="00217AA7"/>
    <w:rsid w:val="0025576A"/>
    <w:rsid w:val="00265EE3"/>
    <w:rsid w:val="00291FB4"/>
    <w:rsid w:val="002B6C70"/>
    <w:rsid w:val="002F6CC4"/>
    <w:rsid w:val="003034C8"/>
    <w:rsid w:val="00324485"/>
    <w:rsid w:val="00335D86"/>
    <w:rsid w:val="0034228A"/>
    <w:rsid w:val="003446BA"/>
    <w:rsid w:val="00360A1A"/>
    <w:rsid w:val="003756C9"/>
    <w:rsid w:val="003A26B7"/>
    <w:rsid w:val="004354EF"/>
    <w:rsid w:val="00450FDC"/>
    <w:rsid w:val="00451E0B"/>
    <w:rsid w:val="004603E3"/>
    <w:rsid w:val="00460C4E"/>
    <w:rsid w:val="00476C97"/>
    <w:rsid w:val="00483406"/>
    <w:rsid w:val="004A5FE3"/>
    <w:rsid w:val="004C3D1F"/>
    <w:rsid w:val="004C6840"/>
    <w:rsid w:val="004D447D"/>
    <w:rsid w:val="005019E5"/>
    <w:rsid w:val="00514FEC"/>
    <w:rsid w:val="005237A9"/>
    <w:rsid w:val="00560E02"/>
    <w:rsid w:val="005A7FA2"/>
    <w:rsid w:val="005B463D"/>
    <w:rsid w:val="005B494C"/>
    <w:rsid w:val="005D6EBD"/>
    <w:rsid w:val="00624314"/>
    <w:rsid w:val="006332D8"/>
    <w:rsid w:val="0064607C"/>
    <w:rsid w:val="00671547"/>
    <w:rsid w:val="006802D9"/>
    <w:rsid w:val="00683C66"/>
    <w:rsid w:val="00686105"/>
    <w:rsid w:val="00686501"/>
    <w:rsid w:val="006A638B"/>
    <w:rsid w:val="006B2928"/>
    <w:rsid w:val="00721FD4"/>
    <w:rsid w:val="00770DB2"/>
    <w:rsid w:val="007B74D6"/>
    <w:rsid w:val="007E4706"/>
    <w:rsid w:val="007E7E49"/>
    <w:rsid w:val="007F206B"/>
    <w:rsid w:val="007F58C0"/>
    <w:rsid w:val="0080664F"/>
    <w:rsid w:val="00811BD6"/>
    <w:rsid w:val="0081468B"/>
    <w:rsid w:val="00853FF2"/>
    <w:rsid w:val="00856EFC"/>
    <w:rsid w:val="0089511E"/>
    <w:rsid w:val="008A5120"/>
    <w:rsid w:val="008B207A"/>
    <w:rsid w:val="008B33B7"/>
    <w:rsid w:val="008B61C3"/>
    <w:rsid w:val="008C1A80"/>
    <w:rsid w:val="008D0C25"/>
    <w:rsid w:val="00906E6E"/>
    <w:rsid w:val="00970E94"/>
    <w:rsid w:val="009748E3"/>
    <w:rsid w:val="009A5E27"/>
    <w:rsid w:val="009D1EF0"/>
    <w:rsid w:val="00A43E86"/>
    <w:rsid w:val="00A8583F"/>
    <w:rsid w:val="00A962E4"/>
    <w:rsid w:val="00AA0825"/>
    <w:rsid w:val="00AA16E5"/>
    <w:rsid w:val="00AB4AF7"/>
    <w:rsid w:val="00AB5B5B"/>
    <w:rsid w:val="00B4725D"/>
    <w:rsid w:val="00B5103E"/>
    <w:rsid w:val="00B753DC"/>
    <w:rsid w:val="00B840FF"/>
    <w:rsid w:val="00BA31C2"/>
    <w:rsid w:val="00BE3C07"/>
    <w:rsid w:val="00BF5661"/>
    <w:rsid w:val="00C04328"/>
    <w:rsid w:val="00C54336"/>
    <w:rsid w:val="00C706CD"/>
    <w:rsid w:val="00C83BB3"/>
    <w:rsid w:val="00C85DDA"/>
    <w:rsid w:val="00CD069F"/>
    <w:rsid w:val="00CF10B5"/>
    <w:rsid w:val="00CF668D"/>
    <w:rsid w:val="00D30C54"/>
    <w:rsid w:val="00D82B5C"/>
    <w:rsid w:val="00D96904"/>
    <w:rsid w:val="00DC6832"/>
    <w:rsid w:val="00DD59AF"/>
    <w:rsid w:val="00DE2B89"/>
    <w:rsid w:val="00E24D1E"/>
    <w:rsid w:val="00E27693"/>
    <w:rsid w:val="00E54557"/>
    <w:rsid w:val="00ED1A90"/>
    <w:rsid w:val="00EE73E5"/>
    <w:rsid w:val="00F03FC7"/>
    <w:rsid w:val="00F17A73"/>
    <w:rsid w:val="00F34D1E"/>
    <w:rsid w:val="00F53D5E"/>
    <w:rsid w:val="00F67CCD"/>
    <w:rsid w:val="00FA509A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DBDA"/>
  <w15:chartTrackingRefBased/>
  <w15:docId w15:val="{4F7CDBBC-DD9B-44D5-A6CA-C445275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A1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811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66"/>
  </w:style>
  <w:style w:type="paragraph" w:styleId="Footer">
    <w:name w:val="footer"/>
    <w:basedOn w:val="Normal"/>
    <w:link w:val="FooterChar"/>
    <w:uiPriority w:val="99"/>
    <w:unhideWhenUsed/>
    <w:rsid w:val="006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66"/>
  </w:style>
  <w:style w:type="paragraph" w:styleId="Title">
    <w:name w:val="Title"/>
    <w:basedOn w:val="Normal"/>
    <w:next w:val="Normal"/>
    <w:link w:val="TitleChar"/>
    <w:uiPriority w:val="10"/>
    <w:qFormat/>
    <w:rsid w:val="00686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r.nl/en/education-programmes/phd-programme/graduate-schools/wageningen-institute-of-animal-sciences-1/phd-candidat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ur.eu/wi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ur.nl/en/education-programmes/phd-programme/aim-content-of-the-wageningen-university-research-phd-programme/wur-teaching-rul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as@wu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4</Pages>
  <Words>1396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Bruining, Marianne</dc:creator>
  <cp:keywords/>
  <dc:description/>
  <cp:lastModifiedBy>Haripersaud, Paddy</cp:lastModifiedBy>
  <cp:revision>90</cp:revision>
  <dcterms:created xsi:type="dcterms:W3CDTF">2019-09-20T12:52:00Z</dcterms:created>
  <dcterms:modified xsi:type="dcterms:W3CDTF">2023-10-31T13:48:00Z</dcterms:modified>
</cp:coreProperties>
</file>