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6505" w14:textId="39D988C3" w:rsidR="00A92AF0" w:rsidRPr="00A1579B" w:rsidRDefault="00A92AF0">
      <w:pPr>
        <w:rPr>
          <w:b/>
          <w:sz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6898"/>
      </w:tblGrid>
      <w:tr w:rsidR="00A92AF0" w:rsidRPr="00C939D6" w14:paraId="1BCE476A" w14:textId="77777777" w:rsidTr="00D56B82">
        <w:trPr>
          <w:cantSplit/>
        </w:trPr>
        <w:tc>
          <w:tcPr>
            <w:tcW w:w="2878" w:type="dxa"/>
            <w:shd w:val="clear" w:color="auto" w:fill="D9D9D9" w:themeFill="background1" w:themeFillShade="D9"/>
          </w:tcPr>
          <w:p w14:paraId="015A583D" w14:textId="5DE7019A" w:rsidR="00A92AF0" w:rsidRPr="00A1579B" w:rsidRDefault="00A92AF0">
            <w:pPr>
              <w:rPr>
                <w:b/>
                <w:sz w:val="22"/>
                <w:szCs w:val="22"/>
                <w:lang w:val="en-GB"/>
              </w:rPr>
            </w:pPr>
            <w:r w:rsidRPr="00A1579B">
              <w:rPr>
                <w:b/>
                <w:sz w:val="22"/>
                <w:szCs w:val="22"/>
                <w:lang w:val="en-GB"/>
              </w:rPr>
              <w:t>Contact</w:t>
            </w:r>
            <w:r w:rsidR="00042A75" w:rsidRPr="00A1579B">
              <w:rPr>
                <w:b/>
                <w:sz w:val="22"/>
                <w:szCs w:val="22"/>
                <w:lang w:val="en-GB"/>
              </w:rPr>
              <w:t xml:space="preserve"> person</w:t>
            </w:r>
            <w:r w:rsidR="00C66BC4" w:rsidRPr="00A1579B">
              <w:rPr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6898" w:type="dxa"/>
          </w:tcPr>
          <w:p w14:paraId="540E9560" w14:textId="77777777" w:rsidR="00A1579B" w:rsidRPr="00C939D6" w:rsidRDefault="00A1579B">
            <w:pPr>
              <w:rPr>
                <w:b/>
                <w:sz w:val="22"/>
                <w:szCs w:val="22"/>
                <w:lang w:val="en-GB"/>
              </w:rPr>
            </w:pPr>
          </w:p>
          <w:p w14:paraId="5D826E01" w14:textId="299A22B8" w:rsidR="003C4BEB" w:rsidRPr="00C939D6" w:rsidRDefault="003C4BEB">
            <w:pPr>
              <w:rPr>
                <w:b/>
                <w:sz w:val="22"/>
                <w:szCs w:val="22"/>
                <w:lang w:val="en-GB"/>
              </w:rPr>
            </w:pPr>
            <w:r w:rsidRPr="00C939D6">
              <w:rPr>
                <w:b/>
                <w:sz w:val="22"/>
                <w:szCs w:val="22"/>
                <w:lang w:val="en-GB"/>
              </w:rPr>
              <w:t xml:space="preserve">Federico Andreotti </w:t>
            </w:r>
            <w:r w:rsidR="00EA2684" w:rsidRPr="00C939D6">
              <w:rPr>
                <w:b/>
                <w:sz w:val="22"/>
                <w:szCs w:val="22"/>
                <w:lang w:val="en-GB"/>
              </w:rPr>
              <w:t xml:space="preserve">(FSE) </w:t>
            </w:r>
            <w:r w:rsidRPr="00C939D6">
              <w:rPr>
                <w:b/>
                <w:sz w:val="22"/>
                <w:szCs w:val="22"/>
                <w:lang w:val="en-GB"/>
              </w:rPr>
              <w:t xml:space="preserve">– </w:t>
            </w:r>
            <w:hyperlink r:id="rId7" w:history="1">
              <w:r w:rsidRPr="00C939D6">
                <w:rPr>
                  <w:rStyle w:val="Hyperlink"/>
                  <w:b/>
                  <w:sz w:val="22"/>
                  <w:szCs w:val="22"/>
                  <w:lang w:val="en-GB"/>
                </w:rPr>
                <w:t>federico.andreotti@wur.nl</w:t>
              </w:r>
            </w:hyperlink>
            <w:r w:rsidRPr="00C939D6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7CA7DBEB" w14:textId="5A7DDD28" w:rsidR="008A2860" w:rsidRPr="00C939D6" w:rsidRDefault="00077255">
            <w:pPr>
              <w:rPr>
                <w:b/>
                <w:sz w:val="22"/>
                <w:szCs w:val="22"/>
                <w:lang w:val="en-US"/>
              </w:rPr>
            </w:pPr>
            <w:r w:rsidRPr="00C939D6">
              <w:rPr>
                <w:b/>
                <w:sz w:val="22"/>
                <w:szCs w:val="22"/>
                <w:lang w:val="en-US"/>
              </w:rPr>
              <w:t>Valentina Tassone</w:t>
            </w:r>
            <w:r w:rsidR="00EA2684" w:rsidRPr="00C939D6">
              <w:rPr>
                <w:b/>
                <w:sz w:val="22"/>
                <w:szCs w:val="22"/>
                <w:lang w:val="en-US"/>
              </w:rPr>
              <w:t xml:space="preserve"> (ELS)</w:t>
            </w:r>
            <w:r w:rsidR="008A2860" w:rsidRPr="00C939D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939D6">
              <w:rPr>
                <w:b/>
                <w:sz w:val="22"/>
                <w:szCs w:val="22"/>
                <w:lang w:val="en-US"/>
              </w:rPr>
              <w:t>–</w:t>
            </w:r>
            <w:r w:rsidR="008A2860" w:rsidRPr="00C939D6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C939D6">
                <w:rPr>
                  <w:rStyle w:val="Hyperlink"/>
                  <w:b/>
                  <w:sz w:val="22"/>
                  <w:szCs w:val="22"/>
                  <w:lang w:val="en-US"/>
                </w:rPr>
                <w:t>valentina.tassone@wur.nl</w:t>
              </w:r>
            </w:hyperlink>
            <w:r w:rsidR="008A2860" w:rsidRPr="00C939D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01F7D5B6" w14:textId="3A702E2A" w:rsidR="00A1579B" w:rsidRPr="00C939D6" w:rsidRDefault="00A1579B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396777F" w14:textId="77777777" w:rsidR="00A92AF0" w:rsidRPr="00077255" w:rsidRDefault="00A92AF0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98"/>
        <w:gridCol w:w="8378"/>
      </w:tblGrid>
      <w:tr w:rsidR="00C66BC4" w:rsidRPr="00A1579B" w14:paraId="38C44B9F" w14:textId="77777777" w:rsidTr="00D56B82">
        <w:tc>
          <w:tcPr>
            <w:tcW w:w="1398" w:type="dxa"/>
            <w:shd w:val="clear" w:color="auto" w:fill="D9D9D9" w:themeFill="background1" w:themeFillShade="D9"/>
          </w:tcPr>
          <w:p w14:paraId="4E73275A" w14:textId="77777777" w:rsidR="00D0754E" w:rsidRPr="00A1579B" w:rsidRDefault="00D075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1579B">
              <w:rPr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8378" w:type="dxa"/>
          </w:tcPr>
          <w:p w14:paraId="32B9928B" w14:textId="1A760B96" w:rsidR="00D0754E" w:rsidRPr="00E96741" w:rsidRDefault="00D0754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  <w:p w14:paraId="1DEB8722" w14:textId="37615943" w:rsidR="00D73C19" w:rsidRPr="003B5B04" w:rsidRDefault="003B5B04" w:rsidP="00CB569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Fostering</w:t>
            </w:r>
            <w:r w:rsidRPr="00E96741">
              <w:rPr>
                <w:b/>
                <w:bCs/>
                <w:lang w:val="en-GB"/>
              </w:rPr>
              <w:t xml:space="preserve"> </w:t>
            </w:r>
            <w:r w:rsidR="00CB5699" w:rsidRPr="00E96741">
              <w:rPr>
                <w:b/>
                <w:bCs/>
                <w:lang w:val="en-GB"/>
              </w:rPr>
              <w:t xml:space="preserve">social-ecological learning </w:t>
            </w:r>
            <w:r>
              <w:rPr>
                <w:b/>
                <w:bCs/>
                <w:lang w:val="en-GB"/>
              </w:rPr>
              <w:t>through</w:t>
            </w:r>
            <w:r w:rsidRPr="00E96741">
              <w:rPr>
                <w:b/>
                <w:bCs/>
                <w:lang w:val="en-GB"/>
              </w:rPr>
              <w:t xml:space="preserve"> </w:t>
            </w:r>
            <w:r w:rsidR="00CB5699" w:rsidRPr="00E96741">
              <w:rPr>
                <w:b/>
                <w:bCs/>
                <w:lang w:val="en-GB"/>
              </w:rPr>
              <w:t>board</w:t>
            </w:r>
            <w:r w:rsidR="0097408F" w:rsidRPr="003B5B04">
              <w:rPr>
                <w:b/>
                <w:bCs/>
                <w:lang w:val="en-GB"/>
              </w:rPr>
              <w:t xml:space="preserve"> </w:t>
            </w:r>
            <w:r w:rsidR="00CB5699" w:rsidRPr="003B5B04">
              <w:rPr>
                <w:b/>
                <w:bCs/>
                <w:lang w:val="en-GB"/>
              </w:rPr>
              <w:t>games</w:t>
            </w:r>
          </w:p>
          <w:p w14:paraId="59D96E67" w14:textId="5570253F" w:rsidR="00D73C19" w:rsidRPr="005541D7" w:rsidRDefault="00D73C1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GB"/>
              </w:rPr>
            </w:pPr>
          </w:p>
          <w:p w14:paraId="45EE88FF" w14:textId="66985FCC" w:rsidR="00D0754E" w:rsidRPr="00E96741" w:rsidRDefault="00CB5699" w:rsidP="00D73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E96741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11EFC4B5" wp14:editId="044578C7">
                  <wp:extent cx="3038222" cy="264481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975" cy="2663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37B916" w14:textId="644854EA" w:rsidR="00D73C19" w:rsidRPr="005541D7" w:rsidRDefault="00D73C19" w:rsidP="00D73C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C66BC4" w:rsidRPr="00C939D6" w14:paraId="06CDEB63" w14:textId="77777777" w:rsidTr="009020A8">
        <w:trPr>
          <w:trHeight w:val="3316"/>
        </w:trPr>
        <w:tc>
          <w:tcPr>
            <w:tcW w:w="1398" w:type="dxa"/>
            <w:shd w:val="clear" w:color="auto" w:fill="D9D9D9" w:themeFill="background1" w:themeFillShade="D9"/>
          </w:tcPr>
          <w:p w14:paraId="123DACBE" w14:textId="77777777" w:rsidR="002638CA" w:rsidRPr="00A1579B" w:rsidRDefault="002638C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</w:p>
          <w:p w14:paraId="1F39DC29" w14:textId="37C36BB8" w:rsidR="00D0754E" w:rsidRPr="00A1579B" w:rsidRDefault="00D075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1579B">
              <w:rPr>
                <w:b/>
                <w:sz w:val="22"/>
                <w:szCs w:val="22"/>
                <w:lang w:val="en-GB"/>
              </w:rPr>
              <w:t xml:space="preserve">Information     </w:t>
            </w:r>
          </w:p>
        </w:tc>
        <w:tc>
          <w:tcPr>
            <w:tcW w:w="8378" w:type="dxa"/>
          </w:tcPr>
          <w:p w14:paraId="0060F14E" w14:textId="77777777" w:rsidR="009020A8" w:rsidRPr="00E96741" w:rsidRDefault="009020A8" w:rsidP="00BB6D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</w:p>
          <w:p w14:paraId="3397E66A" w14:textId="00884664" w:rsidR="00BB6D10" w:rsidRPr="005541D7" w:rsidRDefault="00BB6D10" w:rsidP="00BB6D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US"/>
              </w:rPr>
              <w:t>Serious games are a well-developed participatory research</w:t>
            </w:r>
            <w:r w:rsidR="00077255" w:rsidRPr="005541D7">
              <w:rPr>
                <w:sz w:val="22"/>
                <w:szCs w:val="22"/>
                <w:lang w:val="en-US"/>
              </w:rPr>
              <w:t xml:space="preserve"> </w:t>
            </w:r>
            <w:r w:rsidRPr="005541D7">
              <w:rPr>
                <w:sz w:val="22"/>
                <w:szCs w:val="22"/>
                <w:lang w:val="en-US"/>
              </w:rPr>
              <w:t xml:space="preserve">tools to learn about, discuss and explore </w:t>
            </w:r>
            <w:r w:rsidR="00CB5699" w:rsidRPr="005541D7">
              <w:rPr>
                <w:sz w:val="22"/>
                <w:szCs w:val="22"/>
                <w:lang w:val="en-US"/>
              </w:rPr>
              <w:t xml:space="preserve">social-ecological </w:t>
            </w:r>
            <w:r w:rsidRPr="005541D7">
              <w:rPr>
                <w:sz w:val="22"/>
                <w:szCs w:val="22"/>
                <w:lang w:val="en-US"/>
              </w:rPr>
              <w:t>complexity. By playing a game</w:t>
            </w:r>
            <w:r w:rsidRPr="00E96741">
              <w:rPr>
                <w:sz w:val="22"/>
                <w:szCs w:val="22"/>
                <w:lang w:val="en-US"/>
              </w:rPr>
              <w:t xml:space="preserve"> that mimics part(s) of </w:t>
            </w:r>
            <w:r w:rsidRPr="005541D7">
              <w:rPr>
                <w:sz w:val="22"/>
                <w:szCs w:val="22"/>
                <w:lang w:val="en-US"/>
              </w:rPr>
              <w:t>the real system, stakeholders explore the potential impacts of their actions, while sharing their knowledge and understanding of the functioning of the system at hand. Further, c</w:t>
            </w:r>
            <w:r w:rsidRPr="005541D7">
              <w:rPr>
                <w:sz w:val="22"/>
                <w:szCs w:val="22"/>
                <w:lang w:val="en-GB"/>
              </w:rPr>
              <w:t>o-designing</w:t>
            </w:r>
            <w:r w:rsidRPr="00E96741">
              <w:rPr>
                <w:sz w:val="22"/>
                <w:szCs w:val="22"/>
                <w:lang w:val="en-GB"/>
              </w:rPr>
              <w:t xml:space="preserve"> serious games with research participants open the opportunity to e</w:t>
            </w:r>
            <w:r w:rsidRPr="005541D7">
              <w:rPr>
                <w:sz w:val="22"/>
                <w:szCs w:val="22"/>
                <w:lang w:val="en-GB"/>
              </w:rPr>
              <w:t xml:space="preserve">stablish an iterative process in which multiple stakeholders perspectives are combined into a learning and scenario evaluation tool. </w:t>
            </w:r>
          </w:p>
          <w:p w14:paraId="594E162D" w14:textId="23B5B3C9" w:rsidR="00CB5699" w:rsidRPr="005541D7" w:rsidRDefault="00CB5699" w:rsidP="00BB6D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</w:p>
          <w:p w14:paraId="0CBEEE07" w14:textId="2CAA2433" w:rsidR="00CB5699" w:rsidRPr="005541D7" w:rsidRDefault="00CB5699" w:rsidP="00BB6D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GB"/>
              </w:rPr>
              <w:t xml:space="preserve">While </w:t>
            </w:r>
            <w:r w:rsidR="00077255" w:rsidRPr="005541D7">
              <w:rPr>
                <w:sz w:val="22"/>
                <w:szCs w:val="22"/>
                <w:lang w:val="en-GB"/>
              </w:rPr>
              <w:t>“</w:t>
            </w:r>
            <w:r w:rsidR="004F3388" w:rsidRPr="005541D7">
              <w:rPr>
                <w:sz w:val="22"/>
                <w:szCs w:val="22"/>
                <w:lang w:val="en-GB"/>
              </w:rPr>
              <w:t>already made</w:t>
            </w:r>
            <w:r w:rsidR="00077255" w:rsidRPr="005541D7">
              <w:rPr>
                <w:sz w:val="22"/>
                <w:szCs w:val="22"/>
                <w:lang w:val="en-GB"/>
              </w:rPr>
              <w:t>”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 games (i.e. Rehab, </w:t>
            </w:r>
            <w:proofErr w:type="spellStart"/>
            <w:r w:rsidR="004F3388" w:rsidRPr="005541D7">
              <w:rPr>
                <w:sz w:val="22"/>
                <w:szCs w:val="22"/>
                <w:lang w:val="en-GB"/>
              </w:rPr>
              <w:t>Resortes</w:t>
            </w:r>
            <w:proofErr w:type="spellEnd"/>
            <w:r w:rsidR="004F3388" w:rsidRPr="005541D7">
              <w:rPr>
                <w:sz w:val="22"/>
                <w:szCs w:val="22"/>
                <w:lang w:val="en-GB"/>
              </w:rPr>
              <w:t xml:space="preserve"> games</w:t>
            </w:r>
            <w:r w:rsidR="004F3388" w:rsidRPr="00E96741">
              <w:rPr>
                <w:sz w:val="22"/>
                <w:szCs w:val="22"/>
                <w:lang w:val="en-GB"/>
              </w:rPr>
              <w:t xml:space="preserve">) on social-ecological complexity </w:t>
            </w:r>
            <w:r w:rsidRPr="005541D7">
              <w:rPr>
                <w:sz w:val="22"/>
                <w:szCs w:val="22"/>
                <w:lang w:val="en-GB"/>
              </w:rPr>
              <w:t xml:space="preserve">are </w:t>
            </w:r>
            <w:r w:rsidR="004F3388" w:rsidRPr="005541D7">
              <w:rPr>
                <w:sz w:val="22"/>
                <w:szCs w:val="22"/>
                <w:lang w:val="en-GB"/>
              </w:rPr>
              <w:t>played</w:t>
            </w:r>
            <w:r w:rsidRPr="005541D7">
              <w:rPr>
                <w:sz w:val="22"/>
                <w:szCs w:val="22"/>
                <w:lang w:val="en-GB"/>
              </w:rPr>
              <w:t xml:space="preserve"> in 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education, few </w:t>
            </w:r>
            <w:r w:rsidR="00077255" w:rsidRPr="005541D7">
              <w:rPr>
                <w:sz w:val="22"/>
                <w:szCs w:val="22"/>
                <w:lang w:val="en-GB"/>
              </w:rPr>
              <w:t>lecturers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 have challenged the students to design a game</w:t>
            </w:r>
            <w:r w:rsidR="004F3388" w:rsidRPr="00E96741">
              <w:rPr>
                <w:sz w:val="22"/>
                <w:szCs w:val="22"/>
                <w:lang w:val="en-GB"/>
              </w:rPr>
              <w:t xml:space="preserve"> as an assignment for a course. During Period 5, March-May 2023, in the course </w:t>
            </w:r>
            <w:r w:rsidR="004F3388" w:rsidRPr="005541D7">
              <w:rPr>
                <w:sz w:val="22"/>
                <w:szCs w:val="22"/>
                <w:lang w:val="en-GB"/>
              </w:rPr>
              <w:t>FSE-32306 Methodologies for Reading Sustainable Foodscapes, (</w:t>
            </w:r>
            <w:r w:rsidR="005D1F94" w:rsidRPr="005541D7">
              <w:rPr>
                <w:sz w:val="22"/>
                <w:szCs w:val="22"/>
                <w:lang w:val="en-GB"/>
              </w:rPr>
              <w:t>a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lso known as </w:t>
            </w:r>
            <w:r w:rsidR="00077255" w:rsidRPr="005541D7">
              <w:rPr>
                <w:sz w:val="22"/>
                <w:szCs w:val="22"/>
                <w:lang w:val="en-GB"/>
              </w:rPr>
              <w:t>“</w:t>
            </w:r>
            <w:r w:rsidR="004F3388" w:rsidRPr="005541D7">
              <w:rPr>
                <w:sz w:val="22"/>
                <w:szCs w:val="22"/>
                <w:lang w:val="en-GB"/>
              </w:rPr>
              <w:t>Redesigning global farming and food systems</w:t>
            </w:r>
            <w:r w:rsidR="00077255" w:rsidRPr="005541D7">
              <w:rPr>
                <w:sz w:val="22"/>
                <w:szCs w:val="22"/>
                <w:lang w:val="en-GB"/>
              </w:rPr>
              <w:t>”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), </w:t>
            </w:r>
            <w:r w:rsidR="00077255" w:rsidRPr="005541D7">
              <w:rPr>
                <w:sz w:val="22"/>
                <w:szCs w:val="22"/>
                <w:lang w:val="en-GB"/>
              </w:rPr>
              <w:t xml:space="preserve">the students </w:t>
            </w:r>
            <w:r w:rsidR="004F3388" w:rsidRPr="005541D7">
              <w:rPr>
                <w:sz w:val="22"/>
                <w:szCs w:val="22"/>
                <w:lang w:val="en-GB"/>
              </w:rPr>
              <w:t>will redesign a farming or a food systems, by developing scenarios and designing a board game</w:t>
            </w:r>
            <w:r w:rsidR="00077255" w:rsidRPr="00E96741">
              <w:rPr>
                <w:sz w:val="22"/>
                <w:szCs w:val="22"/>
                <w:lang w:val="en-GB"/>
              </w:rPr>
              <w:t xml:space="preserve"> as a “companion” and final assignment</w:t>
            </w:r>
            <w:r w:rsidR="004F3388" w:rsidRPr="005541D7">
              <w:rPr>
                <w:sz w:val="22"/>
                <w:szCs w:val="22"/>
                <w:lang w:val="en-GB"/>
              </w:rPr>
              <w:t>. Further this course involve</w:t>
            </w:r>
            <w:r w:rsidR="00077255" w:rsidRPr="005541D7">
              <w:rPr>
                <w:sz w:val="22"/>
                <w:szCs w:val="22"/>
                <w:lang w:val="en-GB"/>
              </w:rPr>
              <w:t xml:space="preserve"> </w:t>
            </w:r>
            <w:r w:rsidR="004F3388" w:rsidRPr="005541D7">
              <w:rPr>
                <w:sz w:val="22"/>
                <w:szCs w:val="22"/>
                <w:lang w:val="en-GB"/>
              </w:rPr>
              <w:t>MSc students from natural and social sciences</w:t>
            </w:r>
            <w:r w:rsidR="00077255" w:rsidRPr="005541D7">
              <w:rPr>
                <w:sz w:val="22"/>
                <w:szCs w:val="22"/>
                <w:lang w:val="en-GB"/>
              </w:rPr>
              <w:t xml:space="preserve"> creating an interdisciplinary learning community. </w:t>
            </w:r>
          </w:p>
          <w:p w14:paraId="02641C01" w14:textId="77777777" w:rsidR="00BB6D10" w:rsidRPr="005541D7" w:rsidRDefault="00BB6D10" w:rsidP="00BB6D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</w:p>
          <w:p w14:paraId="3F17BB74" w14:textId="05F20494" w:rsidR="00BB6D10" w:rsidRPr="00B917A3" w:rsidRDefault="009020A8" w:rsidP="00BB6D1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B917A3">
              <w:rPr>
                <w:b/>
                <w:bCs/>
                <w:sz w:val="22"/>
                <w:szCs w:val="22"/>
                <w:lang w:val="en-GB"/>
              </w:rPr>
              <w:t>Th</w:t>
            </w:r>
            <w:r w:rsidR="00210875" w:rsidRPr="00B917A3">
              <w:rPr>
                <w:b/>
                <w:bCs/>
                <w:sz w:val="22"/>
                <w:szCs w:val="22"/>
                <w:lang w:val="en-GB"/>
              </w:rPr>
              <w:t>is</w:t>
            </w:r>
            <w:r w:rsidR="009E309C">
              <w:rPr>
                <w:b/>
                <w:bCs/>
                <w:sz w:val="22"/>
                <w:szCs w:val="22"/>
                <w:lang w:val="en-GB"/>
              </w:rPr>
              <w:t xml:space="preserve"> MSc</w:t>
            </w:r>
            <w:r w:rsidR="00210875" w:rsidRPr="00B917A3">
              <w:rPr>
                <w:b/>
                <w:bCs/>
                <w:sz w:val="22"/>
                <w:szCs w:val="22"/>
                <w:lang w:val="en-GB"/>
              </w:rPr>
              <w:t xml:space="preserve"> thesis project </w:t>
            </w:r>
            <w:r w:rsidRPr="00B917A3">
              <w:rPr>
                <w:b/>
                <w:bCs/>
                <w:sz w:val="22"/>
                <w:szCs w:val="22"/>
                <w:lang w:val="en-GB"/>
              </w:rPr>
              <w:t xml:space="preserve">  will </w:t>
            </w:r>
            <w:r w:rsidR="00690B8E" w:rsidRPr="00B917A3">
              <w:rPr>
                <w:b/>
                <w:bCs/>
                <w:sz w:val="22"/>
                <w:szCs w:val="22"/>
                <w:lang w:val="en-GB"/>
              </w:rPr>
              <w:t>study</w:t>
            </w:r>
            <w:r w:rsidR="00CB5699" w:rsidRPr="00B917A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90B8E" w:rsidRPr="00B917A3">
              <w:rPr>
                <w:b/>
                <w:bCs/>
                <w:sz w:val="22"/>
                <w:szCs w:val="22"/>
                <w:lang w:val="en-GB"/>
              </w:rPr>
              <w:t xml:space="preserve">the students game design process </w:t>
            </w:r>
            <w:r w:rsidR="004F3388" w:rsidRPr="00B917A3">
              <w:rPr>
                <w:b/>
                <w:bCs/>
                <w:sz w:val="22"/>
                <w:szCs w:val="22"/>
                <w:lang w:val="en-GB"/>
              </w:rPr>
              <w:t xml:space="preserve">and </w:t>
            </w:r>
            <w:r w:rsidR="00690B8E" w:rsidRPr="00B917A3">
              <w:rPr>
                <w:b/>
                <w:bCs/>
                <w:sz w:val="22"/>
                <w:szCs w:val="22"/>
                <w:lang w:val="en-GB"/>
              </w:rPr>
              <w:t>explore</w:t>
            </w:r>
            <w:r w:rsidR="004F3388" w:rsidRPr="00B917A3">
              <w:rPr>
                <w:b/>
                <w:bCs/>
                <w:sz w:val="22"/>
                <w:szCs w:val="22"/>
                <w:lang w:val="en-GB"/>
              </w:rPr>
              <w:t xml:space="preserve"> the </w:t>
            </w:r>
            <w:r w:rsidR="00471014" w:rsidRPr="00B917A3">
              <w:rPr>
                <w:b/>
                <w:bCs/>
                <w:sz w:val="22"/>
                <w:szCs w:val="22"/>
                <w:lang w:val="en-GB"/>
              </w:rPr>
              <w:t xml:space="preserve">learning experiences and </w:t>
            </w:r>
            <w:r w:rsidR="004F3388" w:rsidRPr="00B917A3">
              <w:rPr>
                <w:b/>
                <w:bCs/>
                <w:sz w:val="22"/>
                <w:szCs w:val="22"/>
                <w:lang w:val="en-GB"/>
              </w:rPr>
              <w:t xml:space="preserve">impact of </w:t>
            </w:r>
            <w:r w:rsidR="001B35D1" w:rsidRPr="00B917A3">
              <w:rPr>
                <w:b/>
                <w:bCs/>
                <w:sz w:val="22"/>
                <w:szCs w:val="22"/>
                <w:lang w:val="en-GB"/>
              </w:rPr>
              <w:t>co-designing</w:t>
            </w:r>
            <w:r w:rsidR="004F3388" w:rsidRPr="00B917A3">
              <w:rPr>
                <w:b/>
                <w:bCs/>
                <w:sz w:val="22"/>
                <w:szCs w:val="22"/>
                <w:lang w:val="en-GB"/>
              </w:rPr>
              <w:t xml:space="preserve"> a </w:t>
            </w:r>
            <w:r w:rsidR="00077255" w:rsidRPr="00B917A3">
              <w:rPr>
                <w:b/>
                <w:bCs/>
                <w:sz w:val="22"/>
                <w:szCs w:val="22"/>
                <w:lang w:val="en-GB"/>
              </w:rPr>
              <w:t>board</w:t>
            </w:r>
            <w:r w:rsidR="004F3388" w:rsidRPr="00B917A3">
              <w:rPr>
                <w:b/>
                <w:bCs/>
                <w:sz w:val="22"/>
                <w:szCs w:val="22"/>
                <w:lang w:val="en-GB"/>
              </w:rPr>
              <w:t xml:space="preserve"> game</w:t>
            </w:r>
            <w:r w:rsidR="006A3918" w:rsidRPr="00B917A3">
              <w:rPr>
                <w:b/>
                <w:bCs/>
                <w:sz w:val="22"/>
                <w:szCs w:val="22"/>
                <w:lang w:val="en-GB"/>
              </w:rPr>
              <w:t xml:space="preserve"> to address socio-ecological matters of concern</w:t>
            </w:r>
            <w:r w:rsidR="00690B8E" w:rsidRPr="00B917A3">
              <w:rPr>
                <w:b/>
                <w:bCs/>
                <w:sz w:val="22"/>
                <w:szCs w:val="22"/>
                <w:lang w:val="en-GB"/>
              </w:rPr>
              <w:t>.</w:t>
            </w:r>
          </w:p>
          <w:p w14:paraId="3AB6BF86" w14:textId="77777777" w:rsidR="00BB6D10" w:rsidRPr="00B917A3" w:rsidRDefault="00BB6D10" w:rsidP="00BB6D1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14:paraId="69E4BA5A" w14:textId="757A12D5" w:rsidR="00690B8E" w:rsidRPr="00526C31" w:rsidRDefault="00690B8E" w:rsidP="00B917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GB"/>
              </w:rPr>
              <w:t>The project will be supervis</w:t>
            </w:r>
            <w:r w:rsidR="009B1853" w:rsidRPr="005541D7">
              <w:rPr>
                <w:sz w:val="22"/>
                <w:szCs w:val="22"/>
                <w:lang w:val="en-GB"/>
              </w:rPr>
              <w:t>ed</w:t>
            </w:r>
            <w:r w:rsidR="00E96741" w:rsidRPr="005541D7">
              <w:rPr>
                <w:sz w:val="22"/>
                <w:szCs w:val="22"/>
                <w:lang w:val="en-GB"/>
              </w:rPr>
              <w:t xml:space="preserve"> by the</w:t>
            </w:r>
            <w:r w:rsidR="000241DA">
              <w:rPr>
                <w:sz w:val="22"/>
                <w:szCs w:val="22"/>
                <w:lang w:val="en-GB"/>
              </w:rPr>
              <w:t xml:space="preserve"> </w:t>
            </w:r>
            <w:r w:rsidR="000241DA" w:rsidRPr="00526C31">
              <w:rPr>
                <w:i/>
                <w:iCs/>
                <w:sz w:val="22"/>
                <w:szCs w:val="22"/>
                <w:lang w:val="en-GB"/>
              </w:rPr>
              <w:t>Farm Systems Ecology Group</w:t>
            </w:r>
            <w:r w:rsidRPr="005541D7">
              <w:rPr>
                <w:sz w:val="22"/>
                <w:szCs w:val="22"/>
                <w:lang w:val="en-GB"/>
              </w:rPr>
              <w:t xml:space="preserve"> </w:t>
            </w:r>
            <w:r w:rsidR="003718BE" w:rsidRPr="003718BE">
              <w:rPr>
                <w:lang w:val="en-US"/>
              </w:rPr>
              <w:t>(</w:t>
            </w:r>
            <w:r w:rsidRPr="005541D7">
              <w:rPr>
                <w:sz w:val="22"/>
                <w:szCs w:val="22"/>
                <w:lang w:val="en-GB"/>
              </w:rPr>
              <w:t>FSE</w:t>
            </w:r>
            <w:r w:rsidR="003718BE">
              <w:rPr>
                <w:sz w:val="22"/>
                <w:szCs w:val="22"/>
                <w:lang w:val="en-GB"/>
              </w:rPr>
              <w:t>)</w:t>
            </w:r>
            <w:r w:rsidRPr="005541D7">
              <w:rPr>
                <w:sz w:val="22"/>
                <w:szCs w:val="22"/>
                <w:lang w:val="en-GB"/>
              </w:rPr>
              <w:t xml:space="preserve"> and </w:t>
            </w:r>
            <w:r w:rsidRPr="00526C31">
              <w:rPr>
                <w:i/>
                <w:iCs/>
                <w:sz w:val="22"/>
                <w:szCs w:val="22"/>
                <w:lang w:val="en-GB"/>
              </w:rPr>
              <w:t>E</w:t>
            </w:r>
            <w:r w:rsidR="00261931" w:rsidRPr="00526C31">
              <w:rPr>
                <w:i/>
                <w:iCs/>
                <w:sz w:val="22"/>
                <w:szCs w:val="22"/>
                <w:lang w:val="en-GB"/>
              </w:rPr>
              <w:t xml:space="preserve">ducation and Learning Sciences </w:t>
            </w:r>
            <w:r w:rsidR="004864D6">
              <w:rPr>
                <w:sz w:val="22"/>
                <w:szCs w:val="22"/>
                <w:lang w:val="en-GB"/>
              </w:rPr>
              <w:t>(E</w:t>
            </w:r>
            <w:r w:rsidRPr="005541D7">
              <w:rPr>
                <w:sz w:val="22"/>
                <w:szCs w:val="22"/>
                <w:lang w:val="en-GB"/>
              </w:rPr>
              <w:t>LS</w:t>
            </w:r>
            <w:r w:rsidR="004864D6">
              <w:rPr>
                <w:sz w:val="22"/>
                <w:szCs w:val="22"/>
                <w:lang w:val="en-GB"/>
              </w:rPr>
              <w:t>)</w:t>
            </w:r>
            <w:r w:rsidRPr="005541D7">
              <w:rPr>
                <w:sz w:val="22"/>
                <w:szCs w:val="22"/>
                <w:lang w:val="en-GB"/>
              </w:rPr>
              <w:t xml:space="preserve"> </w:t>
            </w:r>
            <w:r w:rsidR="0097408F" w:rsidRPr="005541D7">
              <w:rPr>
                <w:sz w:val="22"/>
                <w:szCs w:val="22"/>
                <w:lang w:val="en-GB"/>
              </w:rPr>
              <w:t>chair groups</w:t>
            </w:r>
            <w:r w:rsidRPr="005541D7">
              <w:rPr>
                <w:sz w:val="22"/>
                <w:szCs w:val="22"/>
                <w:lang w:val="en-GB"/>
              </w:rPr>
              <w:t xml:space="preserve">. </w:t>
            </w:r>
            <w:r w:rsidR="008A2860" w:rsidRPr="005541D7">
              <w:rPr>
                <w:sz w:val="22"/>
                <w:szCs w:val="22"/>
                <w:lang w:val="en-GB"/>
              </w:rPr>
              <w:t>The MSc thesis</w:t>
            </w:r>
            <w:r w:rsidR="00BB6D10" w:rsidRPr="005541D7">
              <w:rPr>
                <w:sz w:val="22"/>
                <w:szCs w:val="22"/>
                <w:lang w:val="en-GB"/>
              </w:rPr>
              <w:t xml:space="preserve"> student</w:t>
            </w:r>
            <w:r w:rsidR="008A2860" w:rsidRPr="005541D7">
              <w:rPr>
                <w:sz w:val="22"/>
                <w:szCs w:val="22"/>
                <w:lang w:val="en-GB"/>
              </w:rPr>
              <w:t xml:space="preserve"> </w:t>
            </w:r>
            <w:r w:rsidR="009E309C">
              <w:rPr>
                <w:sz w:val="22"/>
                <w:szCs w:val="22"/>
                <w:lang w:val="en-GB"/>
              </w:rPr>
              <w:t xml:space="preserve">working on this project </w:t>
            </w:r>
            <w:r w:rsidR="008A2860" w:rsidRPr="005541D7">
              <w:rPr>
                <w:sz w:val="22"/>
                <w:szCs w:val="22"/>
                <w:lang w:val="en-GB"/>
              </w:rPr>
              <w:t xml:space="preserve">will </w:t>
            </w:r>
            <w:r w:rsidR="0097408F" w:rsidRPr="005541D7">
              <w:rPr>
                <w:sz w:val="22"/>
                <w:szCs w:val="22"/>
                <w:lang w:val="en-GB"/>
              </w:rPr>
              <w:t xml:space="preserve">receive the advice of 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an interdisciplinary team of the Centre for </w:t>
            </w:r>
            <w:r w:rsidR="0097408F" w:rsidRPr="005541D7">
              <w:rPr>
                <w:sz w:val="22"/>
                <w:szCs w:val="22"/>
                <w:lang w:val="en-GB"/>
              </w:rPr>
              <w:t>U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nusual </w:t>
            </w:r>
            <w:r w:rsidR="0097408F" w:rsidRPr="005541D7">
              <w:rPr>
                <w:sz w:val="22"/>
                <w:szCs w:val="22"/>
                <w:lang w:val="en-GB"/>
              </w:rPr>
              <w:t>C</w:t>
            </w:r>
            <w:r w:rsidR="004F3388" w:rsidRPr="005541D7">
              <w:rPr>
                <w:sz w:val="22"/>
                <w:szCs w:val="22"/>
                <w:lang w:val="en-GB"/>
              </w:rPr>
              <w:t>ollaborations</w:t>
            </w:r>
            <w:r w:rsidR="004F3388" w:rsidRPr="00E96741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="004F3BAB">
              <w:fldChar w:fldCharType="begin"/>
            </w:r>
            <w:r w:rsidR="004F3BAB" w:rsidRPr="00C939D6">
              <w:rPr>
                <w:lang w:val="en-US"/>
              </w:rPr>
              <w:instrText xml:space="preserve"> HYPERLINK "https://www.unusualcollaborations.com/" </w:instrText>
            </w:r>
            <w:r w:rsidR="004F3BAB">
              <w:fldChar w:fldCharType="separate"/>
            </w:r>
            <w:r w:rsidR="004F3388" w:rsidRPr="005541D7">
              <w:rPr>
                <w:rStyle w:val="Hyperlink"/>
                <w:sz w:val="22"/>
                <w:szCs w:val="22"/>
                <w:lang w:val="en-GB"/>
              </w:rPr>
              <w:t>CUCo</w:t>
            </w:r>
            <w:proofErr w:type="spellEnd"/>
            <w:r w:rsidR="004F3BAB">
              <w:rPr>
                <w:rStyle w:val="Hyperlink"/>
                <w:sz w:val="22"/>
                <w:szCs w:val="22"/>
                <w:lang w:val="en-GB"/>
              </w:rPr>
              <w:fldChar w:fldCharType="end"/>
            </w:r>
            <w:r w:rsidR="004F3388" w:rsidRPr="00E96741">
              <w:rPr>
                <w:sz w:val="22"/>
                <w:szCs w:val="22"/>
                <w:lang w:val="en-GB"/>
              </w:rPr>
              <w:t xml:space="preserve">) on the </w:t>
            </w:r>
            <w:r w:rsidR="0097408F" w:rsidRPr="005541D7">
              <w:rPr>
                <w:sz w:val="22"/>
                <w:szCs w:val="22"/>
                <w:lang w:val="en-GB"/>
              </w:rPr>
              <w:t>“S</w:t>
            </w:r>
            <w:r w:rsidR="004F3388" w:rsidRPr="005541D7">
              <w:rPr>
                <w:sz w:val="22"/>
                <w:szCs w:val="22"/>
                <w:lang w:val="en-GB"/>
              </w:rPr>
              <w:t>park</w:t>
            </w:r>
            <w:r w:rsidR="0097408F" w:rsidRPr="005541D7">
              <w:rPr>
                <w:sz w:val="22"/>
                <w:szCs w:val="22"/>
                <w:lang w:val="en-GB"/>
              </w:rPr>
              <w:t>”</w:t>
            </w:r>
            <w:r w:rsidR="004F3388" w:rsidRPr="005541D7">
              <w:rPr>
                <w:sz w:val="22"/>
                <w:szCs w:val="22"/>
                <w:lang w:val="en-GB"/>
              </w:rPr>
              <w:t xml:space="preserve"> project entitled </w:t>
            </w:r>
            <w:r w:rsidR="00B917A3">
              <w:rPr>
                <w:sz w:val="22"/>
                <w:szCs w:val="22"/>
                <w:lang w:val="en-GB"/>
              </w:rPr>
              <w:t>“</w:t>
            </w:r>
            <w:r w:rsidR="00B917A3" w:rsidRPr="00B917A3">
              <w:rPr>
                <w:sz w:val="22"/>
                <w:szCs w:val="22"/>
                <w:lang w:val="en-GB"/>
              </w:rPr>
              <w:t>[UN]BOX: Unpacking, cocreating, and materialising collaborative research processes for shared learning, purpose and impact</w:t>
            </w:r>
            <w:r w:rsidR="00B917A3">
              <w:rPr>
                <w:sz w:val="22"/>
                <w:szCs w:val="22"/>
                <w:lang w:val="en-GB"/>
              </w:rPr>
              <w:t>”.</w:t>
            </w:r>
          </w:p>
        </w:tc>
      </w:tr>
      <w:tr w:rsidR="002664AA" w:rsidRPr="00C939D6" w14:paraId="7E2B96C5" w14:textId="77777777" w:rsidTr="00D56B82">
        <w:tc>
          <w:tcPr>
            <w:tcW w:w="9776" w:type="dxa"/>
            <w:gridSpan w:val="2"/>
          </w:tcPr>
          <w:p w14:paraId="1479CAE8" w14:textId="77777777" w:rsidR="00A1579B" w:rsidRPr="005541D7" w:rsidRDefault="00A1579B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  <w:p w14:paraId="6DB698F6" w14:textId="053B60C8" w:rsidR="002638CA" w:rsidRPr="005541D7" w:rsidRDefault="004A726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GB"/>
              </w:rPr>
              <w:lastRenderedPageBreak/>
              <w:t xml:space="preserve">Main </w:t>
            </w:r>
            <w:r w:rsidR="002664AA" w:rsidRPr="005541D7">
              <w:rPr>
                <w:sz w:val="22"/>
                <w:szCs w:val="22"/>
                <w:lang w:val="en-GB"/>
              </w:rPr>
              <w:t>Objective</w:t>
            </w:r>
            <w:r w:rsidR="009E309C">
              <w:rPr>
                <w:sz w:val="22"/>
                <w:szCs w:val="22"/>
                <w:lang w:val="en-GB"/>
              </w:rPr>
              <w:t xml:space="preserve"> of the MSc thesis project</w:t>
            </w:r>
            <w:r w:rsidR="009020A8" w:rsidRPr="005541D7">
              <w:rPr>
                <w:sz w:val="22"/>
                <w:szCs w:val="22"/>
                <w:lang w:val="en-GB"/>
              </w:rPr>
              <w:t>:</w:t>
            </w:r>
          </w:p>
          <w:p w14:paraId="1344DB3A" w14:textId="77777777" w:rsidR="009020A8" w:rsidRPr="005541D7" w:rsidRDefault="009020A8" w:rsidP="009020A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  <w:p w14:paraId="3C6763E6" w14:textId="340B98B5" w:rsidR="009020A8" w:rsidRPr="005541D7" w:rsidRDefault="00690B8E" w:rsidP="005541D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GB"/>
              </w:rPr>
              <w:t xml:space="preserve">Study the game design process and explore </w:t>
            </w:r>
            <w:r w:rsidR="00097C8B">
              <w:rPr>
                <w:sz w:val="22"/>
                <w:szCs w:val="22"/>
                <w:lang w:val="en-GB"/>
              </w:rPr>
              <w:t xml:space="preserve">students’ </w:t>
            </w:r>
            <w:r w:rsidR="004A726E" w:rsidRPr="005541D7">
              <w:rPr>
                <w:sz w:val="22"/>
                <w:szCs w:val="22"/>
                <w:lang w:val="en-GB"/>
              </w:rPr>
              <w:t xml:space="preserve">learning </w:t>
            </w:r>
            <w:r w:rsidR="00A40989" w:rsidRPr="005541D7">
              <w:rPr>
                <w:sz w:val="22"/>
                <w:szCs w:val="22"/>
                <w:lang w:val="en-GB"/>
              </w:rPr>
              <w:t xml:space="preserve">experiences </w:t>
            </w:r>
            <w:r w:rsidR="00C3472E">
              <w:rPr>
                <w:sz w:val="22"/>
                <w:szCs w:val="22"/>
                <w:lang w:val="en-GB"/>
              </w:rPr>
              <w:t>and outcomes</w:t>
            </w:r>
            <w:r w:rsidR="000562E6">
              <w:rPr>
                <w:sz w:val="22"/>
                <w:szCs w:val="22"/>
                <w:lang w:val="en-GB"/>
              </w:rPr>
              <w:t xml:space="preserve">, </w:t>
            </w:r>
            <w:r w:rsidR="00DA5C2C">
              <w:rPr>
                <w:sz w:val="22"/>
                <w:szCs w:val="22"/>
                <w:lang w:val="en-GB"/>
              </w:rPr>
              <w:t xml:space="preserve">in a longitudinal fashion </w:t>
            </w:r>
            <w:r w:rsidR="00F95ED6">
              <w:rPr>
                <w:sz w:val="22"/>
                <w:szCs w:val="22"/>
                <w:lang w:val="en-GB"/>
              </w:rPr>
              <w:t>including</w:t>
            </w:r>
            <w:r w:rsidR="00025DAA">
              <w:rPr>
                <w:sz w:val="22"/>
                <w:szCs w:val="22"/>
                <w:lang w:val="en-GB"/>
              </w:rPr>
              <w:t xml:space="preserve"> </w:t>
            </w:r>
            <w:r w:rsidR="003B43FD">
              <w:rPr>
                <w:sz w:val="22"/>
                <w:szCs w:val="22"/>
                <w:lang w:val="en-GB"/>
              </w:rPr>
              <w:t>1.</w:t>
            </w:r>
            <w:r w:rsidR="00780B03" w:rsidRPr="005541D7">
              <w:rPr>
                <w:sz w:val="22"/>
                <w:szCs w:val="22"/>
                <w:lang w:val="en-GB"/>
              </w:rPr>
              <w:t>inten</w:t>
            </w:r>
            <w:r w:rsidR="00F95ED6">
              <w:rPr>
                <w:sz w:val="22"/>
                <w:szCs w:val="22"/>
                <w:lang w:val="en-GB"/>
              </w:rPr>
              <w:t>ded</w:t>
            </w:r>
            <w:r w:rsidR="00780B03" w:rsidRPr="005541D7">
              <w:rPr>
                <w:sz w:val="22"/>
                <w:szCs w:val="22"/>
                <w:lang w:val="en-GB"/>
              </w:rPr>
              <w:t xml:space="preserve"> to </w:t>
            </w:r>
            <w:r w:rsidR="003B43FD">
              <w:rPr>
                <w:sz w:val="22"/>
                <w:szCs w:val="22"/>
                <w:lang w:val="en-GB"/>
              </w:rPr>
              <w:t>2.</w:t>
            </w:r>
            <w:r w:rsidR="00780B03" w:rsidRPr="005541D7">
              <w:rPr>
                <w:sz w:val="22"/>
                <w:szCs w:val="22"/>
                <w:lang w:val="en-GB"/>
              </w:rPr>
              <w:t>implement</w:t>
            </w:r>
            <w:r w:rsidR="00F95ED6">
              <w:rPr>
                <w:sz w:val="22"/>
                <w:szCs w:val="22"/>
                <w:lang w:val="en-GB"/>
              </w:rPr>
              <w:t>ed</w:t>
            </w:r>
            <w:r w:rsidR="00780B03" w:rsidRPr="005541D7">
              <w:rPr>
                <w:sz w:val="22"/>
                <w:szCs w:val="22"/>
                <w:lang w:val="en-GB"/>
              </w:rPr>
              <w:t xml:space="preserve"> </w:t>
            </w:r>
            <w:r w:rsidR="004A726E" w:rsidRPr="005541D7">
              <w:rPr>
                <w:sz w:val="22"/>
                <w:szCs w:val="22"/>
                <w:lang w:val="en-GB"/>
              </w:rPr>
              <w:t xml:space="preserve">to </w:t>
            </w:r>
            <w:r w:rsidR="003B43FD">
              <w:rPr>
                <w:sz w:val="22"/>
                <w:szCs w:val="22"/>
                <w:lang w:val="en-GB"/>
              </w:rPr>
              <w:t>3.</w:t>
            </w:r>
            <w:r w:rsidR="004A726E" w:rsidRPr="005541D7">
              <w:rPr>
                <w:sz w:val="22"/>
                <w:szCs w:val="22"/>
                <w:lang w:val="en-GB"/>
              </w:rPr>
              <w:t>attained results</w:t>
            </w:r>
            <w:r w:rsidR="00143E53">
              <w:rPr>
                <w:sz w:val="22"/>
                <w:szCs w:val="22"/>
                <w:lang w:val="en-GB"/>
              </w:rPr>
              <w:t xml:space="preserve"> of the game co-design process to respond to socio-ecological matters of concern</w:t>
            </w:r>
          </w:p>
          <w:p w14:paraId="4D6A32CC" w14:textId="5866BD02" w:rsidR="002664AA" w:rsidRPr="005541D7" w:rsidRDefault="004F4938" w:rsidP="009020A8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41D7">
              <w:rPr>
                <w:sz w:val="22"/>
                <w:szCs w:val="22"/>
                <w:lang w:val="en-GB"/>
              </w:rPr>
              <w:br/>
            </w:r>
          </w:p>
        </w:tc>
      </w:tr>
      <w:tr w:rsidR="002664AA" w:rsidRPr="002638CA" w14:paraId="6BAF6B37" w14:textId="77777777" w:rsidTr="00D56B82">
        <w:tc>
          <w:tcPr>
            <w:tcW w:w="9776" w:type="dxa"/>
            <w:gridSpan w:val="2"/>
          </w:tcPr>
          <w:p w14:paraId="4928BEF7" w14:textId="77777777" w:rsidR="00A1579B" w:rsidRPr="005541D7" w:rsidRDefault="00A1579B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6943FB86" w14:textId="10AECC66" w:rsidR="002664AA" w:rsidRPr="005541D7" w:rsidRDefault="002664AA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5541D7">
              <w:rPr>
                <w:iCs/>
                <w:sz w:val="22"/>
                <w:szCs w:val="22"/>
                <w:lang w:val="en-GB"/>
              </w:rPr>
              <w:t>Literature</w:t>
            </w:r>
          </w:p>
          <w:p w14:paraId="1CE4317C" w14:textId="77777777" w:rsidR="00A1579B" w:rsidRPr="005541D7" w:rsidRDefault="00A1579B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37945CC9" w14:textId="272EC97D" w:rsidR="00A61587" w:rsidRPr="00026D4A" w:rsidRDefault="002664AA" w:rsidP="0079652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5541D7">
              <w:rPr>
                <w:iCs/>
                <w:sz w:val="22"/>
                <w:szCs w:val="22"/>
              </w:rPr>
              <w:t xml:space="preserve"> </w:t>
            </w:r>
            <w:r w:rsidR="00A61587" w:rsidRPr="005541D7">
              <w:rPr>
                <w:iCs/>
                <w:sz w:val="22"/>
                <w:szCs w:val="22"/>
              </w:rPr>
              <w:t xml:space="preserve">Andreotti, F., Speelman, E. N., Van den </w:t>
            </w:r>
            <w:proofErr w:type="spellStart"/>
            <w:r w:rsidR="00A61587" w:rsidRPr="005541D7">
              <w:rPr>
                <w:iCs/>
                <w:sz w:val="22"/>
                <w:szCs w:val="22"/>
              </w:rPr>
              <w:t>Meersche</w:t>
            </w:r>
            <w:proofErr w:type="spellEnd"/>
            <w:r w:rsidR="00A61587" w:rsidRPr="005541D7">
              <w:rPr>
                <w:iCs/>
                <w:sz w:val="22"/>
                <w:szCs w:val="22"/>
              </w:rPr>
              <w:t xml:space="preserve">, K., &amp; </w:t>
            </w:r>
            <w:proofErr w:type="spellStart"/>
            <w:r w:rsidR="00A61587" w:rsidRPr="005541D7">
              <w:rPr>
                <w:iCs/>
                <w:sz w:val="22"/>
                <w:szCs w:val="22"/>
              </w:rPr>
              <w:t>Allinne</w:t>
            </w:r>
            <w:proofErr w:type="spellEnd"/>
            <w:r w:rsidR="00A61587" w:rsidRPr="005541D7">
              <w:rPr>
                <w:iCs/>
                <w:sz w:val="22"/>
                <w:szCs w:val="22"/>
              </w:rPr>
              <w:t xml:space="preserve">, C. (2020). </w:t>
            </w:r>
            <w:r w:rsidR="00A61587" w:rsidRPr="005541D7">
              <w:rPr>
                <w:iCs/>
                <w:sz w:val="22"/>
                <w:szCs w:val="22"/>
                <w:lang w:val="en-US"/>
              </w:rPr>
              <w:t xml:space="preserve">Combining participatory games and </w:t>
            </w:r>
            <w:proofErr w:type="spellStart"/>
            <w:r w:rsidR="00A61587" w:rsidRPr="005541D7">
              <w:rPr>
                <w:iCs/>
                <w:sz w:val="22"/>
                <w:szCs w:val="22"/>
                <w:lang w:val="en-US"/>
              </w:rPr>
              <w:t>backcasting</w:t>
            </w:r>
            <w:proofErr w:type="spellEnd"/>
            <w:r w:rsidR="00A61587" w:rsidRPr="005541D7">
              <w:rPr>
                <w:iCs/>
                <w:sz w:val="22"/>
                <w:szCs w:val="22"/>
                <w:lang w:val="en-US"/>
              </w:rPr>
              <w:t xml:space="preserve"> to support collective scenario evaluation: an action research approach for sustainable agroforestry landscape management. Sustainability Science, 15(5), 1383-1399.</w:t>
            </w:r>
          </w:p>
          <w:p w14:paraId="362FA39A" w14:textId="77777777" w:rsidR="00B917A3" w:rsidRDefault="00690B8E" w:rsidP="00B917A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026D4A">
              <w:rPr>
                <w:iCs/>
                <w:sz w:val="22"/>
                <w:szCs w:val="22"/>
                <w:lang w:val="en-GB"/>
              </w:rPr>
              <w:t xml:space="preserve">Page, C. L., Dray, A., Perez, P., &amp; Garcia, C. (2016). Exploring how knowledge and communication influence natural resources management with </w:t>
            </w:r>
            <w:proofErr w:type="spellStart"/>
            <w:r w:rsidRPr="00026D4A">
              <w:rPr>
                <w:iCs/>
                <w:sz w:val="22"/>
                <w:szCs w:val="22"/>
                <w:lang w:val="en-GB"/>
              </w:rPr>
              <w:t>ReHab</w:t>
            </w:r>
            <w:proofErr w:type="spellEnd"/>
            <w:r w:rsidRPr="00026D4A">
              <w:rPr>
                <w:iCs/>
                <w:sz w:val="22"/>
                <w:szCs w:val="22"/>
                <w:lang w:val="en-GB"/>
              </w:rPr>
              <w:t>. Simulation &amp; Gaming, 47(2), 257-284.</w:t>
            </w:r>
          </w:p>
          <w:p w14:paraId="624E2A08" w14:textId="789CE5FA" w:rsidR="002664AA" w:rsidRPr="00B917A3" w:rsidRDefault="00E206E4" w:rsidP="00B917A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B917A3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Tassone, V. C., O’Mahony, C., McKenna, E., Eppink, H. J., &amp; Wals, A. E. (2018). (Re-) designing higher education curricula in times of systemic dysfunction: a responsible research and innovation perspective. </w:t>
            </w:r>
            <w:proofErr w:type="spellStart"/>
            <w:r w:rsidRPr="00B917A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Higher</w:t>
            </w:r>
            <w:proofErr w:type="spellEnd"/>
            <w:r w:rsidRPr="00B917A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Education</w:t>
            </w:r>
            <w:r w:rsidRPr="00B917A3"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B917A3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76</w:t>
            </w:r>
            <w:r w:rsidRPr="00B917A3">
              <w:rPr>
                <w:color w:val="222222"/>
                <w:sz w:val="22"/>
                <w:szCs w:val="22"/>
                <w:shd w:val="clear" w:color="auto" w:fill="FFFFFF"/>
              </w:rPr>
              <w:t>(2), 337-352.</w:t>
            </w:r>
            <w:r w:rsidR="004F4938" w:rsidRPr="00B917A3">
              <w:rPr>
                <w:iCs/>
                <w:sz w:val="22"/>
                <w:szCs w:val="22"/>
                <w:lang w:val="en-GB"/>
              </w:rPr>
              <w:br/>
            </w:r>
          </w:p>
        </w:tc>
      </w:tr>
      <w:tr w:rsidR="00E73251" w:rsidRPr="00C939D6" w14:paraId="4FB7D06C" w14:textId="77777777" w:rsidTr="00D56B82">
        <w:tc>
          <w:tcPr>
            <w:tcW w:w="9776" w:type="dxa"/>
            <w:gridSpan w:val="2"/>
          </w:tcPr>
          <w:p w14:paraId="110A1B3B" w14:textId="77777777" w:rsidR="00A1579B" w:rsidRDefault="00A1579B" w:rsidP="004A10C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43B115EA" w14:textId="47DD54C6" w:rsidR="00E73251" w:rsidRDefault="00E73251" w:rsidP="004A10C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A1579B">
              <w:rPr>
                <w:iCs/>
                <w:sz w:val="22"/>
                <w:szCs w:val="22"/>
                <w:lang w:val="en-GB"/>
              </w:rPr>
              <w:t>Requirements</w:t>
            </w:r>
            <w:r w:rsidR="00E246F9" w:rsidRPr="00A1579B">
              <w:rPr>
                <w:iCs/>
                <w:sz w:val="22"/>
                <w:szCs w:val="22"/>
                <w:lang w:val="en-GB"/>
              </w:rPr>
              <w:t xml:space="preserve"> </w:t>
            </w:r>
          </w:p>
          <w:p w14:paraId="60BCD8FD" w14:textId="77777777" w:rsidR="00A1579B" w:rsidRPr="00A1579B" w:rsidRDefault="00A1579B" w:rsidP="004A10C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742BE296" w14:textId="73FCC1A9" w:rsidR="00C3288F" w:rsidRDefault="00C3288F" w:rsidP="004A10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>Enthusiasm for the topic</w:t>
            </w:r>
          </w:p>
          <w:p w14:paraId="7BA29270" w14:textId="00666B38" w:rsidR="00E73251" w:rsidRPr="00A1579B" w:rsidRDefault="0079652F" w:rsidP="004A10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A1579B">
              <w:rPr>
                <w:iCs/>
                <w:sz w:val="22"/>
                <w:szCs w:val="22"/>
                <w:lang w:val="en-GB"/>
              </w:rPr>
              <w:t>Good facilitation and communications skills</w:t>
            </w:r>
          </w:p>
          <w:p w14:paraId="18CC6648" w14:textId="72E5AE2D" w:rsidR="00D10BB4" w:rsidRDefault="00D56B82" w:rsidP="009020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 w:rsidRPr="00A1579B">
              <w:rPr>
                <w:iCs/>
                <w:sz w:val="22"/>
                <w:szCs w:val="22"/>
                <w:lang w:val="en-GB"/>
              </w:rPr>
              <w:t>Interest in participatory research methods</w:t>
            </w:r>
            <w:r w:rsidR="00C3288F">
              <w:rPr>
                <w:iCs/>
                <w:sz w:val="22"/>
                <w:szCs w:val="22"/>
                <w:lang w:val="en-GB"/>
              </w:rPr>
              <w:t xml:space="preserve"> </w:t>
            </w:r>
          </w:p>
          <w:p w14:paraId="2D6391A9" w14:textId="51EA0E19" w:rsidR="00B511FE" w:rsidRDefault="00D10BB4" w:rsidP="009020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Willingness to work with </w:t>
            </w:r>
            <w:r w:rsidR="00442DCC">
              <w:rPr>
                <w:iCs/>
                <w:sz w:val="22"/>
                <w:szCs w:val="22"/>
                <w:lang w:val="en-GB"/>
              </w:rPr>
              <w:t>especially qualitative and partly quan</w:t>
            </w:r>
            <w:r w:rsidR="00B511FE">
              <w:rPr>
                <w:iCs/>
                <w:sz w:val="22"/>
                <w:szCs w:val="22"/>
                <w:lang w:val="en-GB"/>
              </w:rPr>
              <w:t>titative analysis</w:t>
            </w:r>
          </w:p>
          <w:p w14:paraId="23E756B7" w14:textId="1B2BC122" w:rsidR="00A1579B" w:rsidRPr="00B511FE" w:rsidRDefault="00A1579B" w:rsidP="00B917A3">
            <w:pPr>
              <w:pStyle w:val="ListParagraph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055FA6F6" w14:textId="463A96F7" w:rsidR="00A1579B" w:rsidRDefault="00A1579B" w:rsidP="00A1579B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The MSc thesis project would start preferably in </w:t>
            </w:r>
            <w:r w:rsidR="00F00127">
              <w:rPr>
                <w:iCs/>
                <w:sz w:val="22"/>
                <w:szCs w:val="22"/>
                <w:lang w:val="en-GB"/>
              </w:rPr>
              <w:t>mid</w:t>
            </w:r>
            <w:r w:rsidR="00A1575F">
              <w:rPr>
                <w:iCs/>
                <w:sz w:val="22"/>
                <w:szCs w:val="22"/>
                <w:lang w:val="en-GB"/>
              </w:rPr>
              <w:t>-</w:t>
            </w:r>
            <w:r>
              <w:rPr>
                <w:iCs/>
                <w:sz w:val="22"/>
                <w:szCs w:val="22"/>
                <w:lang w:val="en-GB"/>
              </w:rPr>
              <w:t>February</w:t>
            </w:r>
            <w:r w:rsidR="00A1575F">
              <w:rPr>
                <w:iCs/>
                <w:sz w:val="22"/>
                <w:szCs w:val="22"/>
                <w:lang w:val="en-GB"/>
              </w:rPr>
              <w:t xml:space="preserve">/ beginning of </w:t>
            </w:r>
            <w:r w:rsidR="00690B8E">
              <w:rPr>
                <w:iCs/>
                <w:sz w:val="22"/>
                <w:szCs w:val="22"/>
                <w:lang w:val="en-GB"/>
              </w:rPr>
              <w:t>March</w:t>
            </w:r>
            <w:r>
              <w:rPr>
                <w:iCs/>
                <w:sz w:val="22"/>
                <w:szCs w:val="22"/>
                <w:lang w:val="en-GB"/>
              </w:rPr>
              <w:t xml:space="preserve"> 2023.</w:t>
            </w:r>
          </w:p>
          <w:p w14:paraId="77FD4CC6" w14:textId="77777777" w:rsidR="00A1579B" w:rsidRPr="00A1579B" w:rsidRDefault="00A1579B" w:rsidP="00A1579B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  <w:p w14:paraId="65CEF5C7" w14:textId="6E1574F6" w:rsidR="00F4374E" w:rsidRPr="00A1579B" w:rsidRDefault="00F4374E" w:rsidP="00F4374E">
            <w:pPr>
              <w:pStyle w:val="ListParagraph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en-GB"/>
              </w:rPr>
            </w:pPr>
          </w:p>
        </w:tc>
      </w:tr>
    </w:tbl>
    <w:p w14:paraId="59C3A61C" w14:textId="77777777" w:rsidR="00C670E0" w:rsidRPr="00C670E0" w:rsidRDefault="00C670E0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sectPr w:rsidR="00C670E0" w:rsidRPr="00C670E0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A4D0" w14:textId="77777777" w:rsidR="004F3BAB" w:rsidRDefault="004F3BAB" w:rsidP="00AC1E64">
      <w:r>
        <w:separator/>
      </w:r>
    </w:p>
  </w:endnote>
  <w:endnote w:type="continuationSeparator" w:id="0">
    <w:p w14:paraId="76CDCBAF" w14:textId="77777777" w:rsidR="004F3BAB" w:rsidRDefault="004F3BAB" w:rsidP="00A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C667" w14:textId="77777777" w:rsidR="004F3BAB" w:rsidRDefault="004F3BAB" w:rsidP="00AC1E64">
      <w:r>
        <w:separator/>
      </w:r>
    </w:p>
  </w:footnote>
  <w:footnote w:type="continuationSeparator" w:id="0">
    <w:p w14:paraId="2C0EEEE5" w14:textId="77777777" w:rsidR="004F3BAB" w:rsidRDefault="004F3BAB" w:rsidP="00AC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F14D" w14:textId="3C1AA107" w:rsidR="00AC1E64" w:rsidRPr="003C4BEB" w:rsidRDefault="00E942F4">
    <w:pPr>
      <w:pStyle w:val="Header"/>
      <w:rPr>
        <w:rFonts w:ascii="Corbel" w:hAnsi="Corbel"/>
        <w:sz w:val="32"/>
        <w:szCs w:val="32"/>
        <w:lang w:val="en-GB"/>
      </w:rPr>
    </w:pPr>
    <w:r w:rsidRPr="003C4BEB">
      <w:rPr>
        <w:rFonts w:ascii="Corbel" w:hAnsi="Corbel"/>
        <w:sz w:val="32"/>
        <w:szCs w:val="32"/>
        <w:lang w:val="en-GB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CF1"/>
    <w:multiLevelType w:val="hybridMultilevel"/>
    <w:tmpl w:val="DFFEB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4967"/>
    <w:multiLevelType w:val="hybridMultilevel"/>
    <w:tmpl w:val="1F7E910C"/>
    <w:lvl w:ilvl="0" w:tplc="DF6E3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137"/>
    <w:multiLevelType w:val="multilevel"/>
    <w:tmpl w:val="CD2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903DD"/>
    <w:multiLevelType w:val="hybridMultilevel"/>
    <w:tmpl w:val="D238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F81"/>
    <w:multiLevelType w:val="hybridMultilevel"/>
    <w:tmpl w:val="A9DC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7AF3"/>
    <w:multiLevelType w:val="hybridMultilevel"/>
    <w:tmpl w:val="0AA49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50A41"/>
    <w:multiLevelType w:val="hybridMultilevel"/>
    <w:tmpl w:val="244C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56C1"/>
    <w:multiLevelType w:val="hybridMultilevel"/>
    <w:tmpl w:val="0622C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199F"/>
    <w:multiLevelType w:val="hybridMultilevel"/>
    <w:tmpl w:val="1DE65D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61B0"/>
    <w:multiLevelType w:val="hybridMultilevel"/>
    <w:tmpl w:val="AD8EC4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MzUytzAxMTa0NLBU0lEKTi0uzszPAykwrgUAZYoMNiwAAAA="/>
  </w:docVars>
  <w:rsids>
    <w:rsidRoot w:val="0060768E"/>
    <w:rsid w:val="000241DA"/>
    <w:rsid w:val="00025DAA"/>
    <w:rsid w:val="00026D4A"/>
    <w:rsid w:val="00042A75"/>
    <w:rsid w:val="000467A4"/>
    <w:rsid w:val="000562E6"/>
    <w:rsid w:val="00077255"/>
    <w:rsid w:val="00097C8B"/>
    <w:rsid w:val="00143E53"/>
    <w:rsid w:val="00144E85"/>
    <w:rsid w:val="0014799C"/>
    <w:rsid w:val="00196449"/>
    <w:rsid w:val="001A6FA2"/>
    <w:rsid w:val="001B35D1"/>
    <w:rsid w:val="001F3154"/>
    <w:rsid w:val="001F6C15"/>
    <w:rsid w:val="001F7994"/>
    <w:rsid w:val="002047D6"/>
    <w:rsid w:val="002048A0"/>
    <w:rsid w:val="00210875"/>
    <w:rsid w:val="00212A44"/>
    <w:rsid w:val="00261931"/>
    <w:rsid w:val="002638CA"/>
    <w:rsid w:val="002664AA"/>
    <w:rsid w:val="00281382"/>
    <w:rsid w:val="002C3974"/>
    <w:rsid w:val="002E34DC"/>
    <w:rsid w:val="002E49E7"/>
    <w:rsid w:val="003030AC"/>
    <w:rsid w:val="00306A66"/>
    <w:rsid w:val="003266C4"/>
    <w:rsid w:val="003330B5"/>
    <w:rsid w:val="003718BE"/>
    <w:rsid w:val="003B43FD"/>
    <w:rsid w:val="003B5B04"/>
    <w:rsid w:val="003C4BEB"/>
    <w:rsid w:val="00414E62"/>
    <w:rsid w:val="00425164"/>
    <w:rsid w:val="00442DCC"/>
    <w:rsid w:val="00471014"/>
    <w:rsid w:val="004864D6"/>
    <w:rsid w:val="004A4E36"/>
    <w:rsid w:val="004A726E"/>
    <w:rsid w:val="004D27E9"/>
    <w:rsid w:val="004E6FCF"/>
    <w:rsid w:val="004F3388"/>
    <w:rsid w:val="004F3BAB"/>
    <w:rsid w:val="004F4938"/>
    <w:rsid w:val="00526C31"/>
    <w:rsid w:val="005541D7"/>
    <w:rsid w:val="00583ECD"/>
    <w:rsid w:val="00586740"/>
    <w:rsid w:val="005C5A30"/>
    <w:rsid w:val="005D1F94"/>
    <w:rsid w:val="0060768E"/>
    <w:rsid w:val="006250EC"/>
    <w:rsid w:val="006603B3"/>
    <w:rsid w:val="006809A2"/>
    <w:rsid w:val="006844CB"/>
    <w:rsid w:val="00690B8E"/>
    <w:rsid w:val="006A3918"/>
    <w:rsid w:val="006C4447"/>
    <w:rsid w:val="006D2CD1"/>
    <w:rsid w:val="006F0CE3"/>
    <w:rsid w:val="00705457"/>
    <w:rsid w:val="007171B8"/>
    <w:rsid w:val="007253AB"/>
    <w:rsid w:val="00741278"/>
    <w:rsid w:val="00780B03"/>
    <w:rsid w:val="00787DCA"/>
    <w:rsid w:val="0079652F"/>
    <w:rsid w:val="00806360"/>
    <w:rsid w:val="00827B1D"/>
    <w:rsid w:val="00827E35"/>
    <w:rsid w:val="008640B4"/>
    <w:rsid w:val="00891FF4"/>
    <w:rsid w:val="00897B2C"/>
    <w:rsid w:val="008A2860"/>
    <w:rsid w:val="008C06F4"/>
    <w:rsid w:val="008C0CD5"/>
    <w:rsid w:val="009020A8"/>
    <w:rsid w:val="00903860"/>
    <w:rsid w:val="0097408F"/>
    <w:rsid w:val="009B0FB0"/>
    <w:rsid w:val="009B1853"/>
    <w:rsid w:val="009D1C9D"/>
    <w:rsid w:val="009E309C"/>
    <w:rsid w:val="00A0768E"/>
    <w:rsid w:val="00A1575F"/>
    <w:rsid w:val="00A1579B"/>
    <w:rsid w:val="00A31BBE"/>
    <w:rsid w:val="00A40989"/>
    <w:rsid w:val="00A61587"/>
    <w:rsid w:val="00A92AF0"/>
    <w:rsid w:val="00AC1E64"/>
    <w:rsid w:val="00B4772E"/>
    <w:rsid w:val="00B511FE"/>
    <w:rsid w:val="00B917A3"/>
    <w:rsid w:val="00BB6D10"/>
    <w:rsid w:val="00C3288F"/>
    <w:rsid w:val="00C3472E"/>
    <w:rsid w:val="00C52FF7"/>
    <w:rsid w:val="00C618B0"/>
    <w:rsid w:val="00C66775"/>
    <w:rsid w:val="00C66BC4"/>
    <w:rsid w:val="00C670E0"/>
    <w:rsid w:val="00C86812"/>
    <w:rsid w:val="00C939D6"/>
    <w:rsid w:val="00CA64B3"/>
    <w:rsid w:val="00CB5699"/>
    <w:rsid w:val="00CC3F80"/>
    <w:rsid w:val="00CD0738"/>
    <w:rsid w:val="00D0754E"/>
    <w:rsid w:val="00D10BB4"/>
    <w:rsid w:val="00D21096"/>
    <w:rsid w:val="00D356B6"/>
    <w:rsid w:val="00D53761"/>
    <w:rsid w:val="00D55383"/>
    <w:rsid w:val="00D56B82"/>
    <w:rsid w:val="00D73C19"/>
    <w:rsid w:val="00DA5C2C"/>
    <w:rsid w:val="00DA5DDD"/>
    <w:rsid w:val="00E206E4"/>
    <w:rsid w:val="00E246F9"/>
    <w:rsid w:val="00E73251"/>
    <w:rsid w:val="00E74DDB"/>
    <w:rsid w:val="00E942F4"/>
    <w:rsid w:val="00E96741"/>
    <w:rsid w:val="00EA2684"/>
    <w:rsid w:val="00EA60D1"/>
    <w:rsid w:val="00EE4989"/>
    <w:rsid w:val="00EE5181"/>
    <w:rsid w:val="00EF74D0"/>
    <w:rsid w:val="00F00127"/>
    <w:rsid w:val="00F02E6C"/>
    <w:rsid w:val="00F16B25"/>
    <w:rsid w:val="00F2225E"/>
    <w:rsid w:val="00F375F9"/>
    <w:rsid w:val="00F4374E"/>
    <w:rsid w:val="00F55AD3"/>
    <w:rsid w:val="00F90618"/>
    <w:rsid w:val="00F95ED6"/>
    <w:rsid w:val="00FA25D2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8B4A5"/>
  <w15:docId w15:val="{37081552-DCFD-42D5-A2DF-06CEC49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 w:cs="Arial"/>
      <w:b/>
      <w:sz w:val="20"/>
    </w:rPr>
  </w:style>
  <w:style w:type="table" w:styleId="TableGrid">
    <w:name w:val="Table Grid"/>
    <w:basedOn w:val="TableNormal"/>
    <w:rsid w:val="0026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AA"/>
    <w:pPr>
      <w:ind w:left="720"/>
      <w:contextualSpacing/>
    </w:pPr>
  </w:style>
  <w:style w:type="paragraph" w:styleId="Header">
    <w:name w:val="header"/>
    <w:basedOn w:val="Normal"/>
    <w:link w:val="HeaderChar"/>
    <w:rsid w:val="00AC1E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1E64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AC1E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1E64"/>
    <w:rPr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3C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tassone@wu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erico.andreotti@wu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MGI THESIS SUBJECT:</vt:lpstr>
    </vt:vector>
  </TitlesOfParts>
  <Company>´t Zevendal</Company>
  <LinksUpToDate>false</LinksUpToDate>
  <CharactersWithSpaces>3530</CharactersWithSpaces>
  <SharedDoc>false</SharedDoc>
  <HLinks>
    <vt:vector size="6" baseType="variant"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http://www.grs.wur.nl/UK/Research/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MGI THESIS SUBJECT:</dc:title>
  <dc:creator>federico.andreotti@wur.nl</dc:creator>
  <cp:lastModifiedBy>Tassone, Valentina</cp:lastModifiedBy>
  <cp:revision>10</cp:revision>
  <cp:lastPrinted>2005-01-17T12:28:00Z</cp:lastPrinted>
  <dcterms:created xsi:type="dcterms:W3CDTF">2023-01-12T11:24:00Z</dcterms:created>
  <dcterms:modified xsi:type="dcterms:W3CDTF">2023-01-12T21:45:00Z</dcterms:modified>
</cp:coreProperties>
</file>