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F8C8A" w14:textId="77777777" w:rsidR="0084129E" w:rsidRPr="00261277" w:rsidRDefault="0084129E" w:rsidP="0084129E">
      <w:pPr>
        <w:jc w:val="center"/>
        <w:rPr>
          <w:b/>
        </w:rPr>
      </w:pPr>
      <w:bookmarkStart w:id="0" w:name="_GoBack"/>
      <w:bookmarkEnd w:id="0"/>
      <w:r w:rsidRPr="00261277">
        <w:rPr>
          <w:b/>
        </w:rPr>
        <w:t xml:space="preserve">SANTE </w:t>
      </w:r>
      <w:r w:rsidR="009D4B4D">
        <w:rPr>
          <w:b/>
        </w:rPr>
        <w:t>11188-2018</w:t>
      </w:r>
      <w:r w:rsidRPr="00261277">
        <w:rPr>
          <w:b/>
        </w:rPr>
        <w:t xml:space="preserve"> Rev</w:t>
      </w:r>
      <w:r w:rsidR="009D4B4D">
        <w:rPr>
          <w:b/>
        </w:rPr>
        <w:t>0</w:t>
      </w:r>
      <w:r w:rsidRPr="00261277">
        <w:rPr>
          <w:b/>
        </w:rPr>
        <w:t>.</w:t>
      </w:r>
    </w:p>
    <w:p w14:paraId="569F74C1" w14:textId="77777777" w:rsidR="0084129E" w:rsidRPr="00261277" w:rsidRDefault="0084129E" w:rsidP="00EC0824">
      <w:pPr>
        <w:pStyle w:val="Typedudocument"/>
      </w:pPr>
    </w:p>
    <w:p w14:paraId="3E4EFC3C" w14:textId="77777777" w:rsidR="00140DF2" w:rsidRPr="00261277" w:rsidRDefault="00EC0824" w:rsidP="00EC0824">
      <w:pPr>
        <w:pStyle w:val="Typedudocument"/>
      </w:pPr>
      <w:r w:rsidRPr="00261277">
        <w:t>CO</w:t>
      </w:r>
      <w:r w:rsidR="00140DF2" w:rsidRPr="00261277">
        <w:t xml:space="preserve">MMISSION </w:t>
      </w:r>
      <w:r w:rsidR="00480707" w:rsidRPr="00261277">
        <w:t xml:space="preserve">IMPLEMENTING </w:t>
      </w:r>
      <w:r w:rsidR="00140DF2" w:rsidRPr="00261277">
        <w:t>REGULATION (EU) …/…</w:t>
      </w:r>
    </w:p>
    <w:p w14:paraId="772F67C1" w14:textId="77777777" w:rsidR="00140DF2" w:rsidRPr="00A01AA1" w:rsidRDefault="00140DF2" w:rsidP="00140DF2">
      <w:pPr>
        <w:pStyle w:val="Datedadoption"/>
      </w:pPr>
      <w:r w:rsidRPr="00E636C6">
        <w:t xml:space="preserve">of </w:t>
      </w:r>
      <w:r w:rsidRPr="00E636C6">
        <w:rPr>
          <w:rStyle w:val="Marker2"/>
        </w:rPr>
        <w:t>XXX</w:t>
      </w:r>
    </w:p>
    <w:p w14:paraId="70AC4EC5" w14:textId="77777777" w:rsidR="009F1A17" w:rsidRDefault="009D4B4D" w:rsidP="00A27A8C">
      <w:pPr>
        <w:pStyle w:val="Institutionquiagit"/>
        <w:rPr>
          <w:b/>
        </w:rPr>
      </w:pPr>
      <w:r>
        <w:rPr>
          <w:b/>
        </w:rPr>
        <w:t>on</w:t>
      </w:r>
      <w:r w:rsidRPr="009D4B4D">
        <w:rPr>
          <w:b/>
        </w:rPr>
        <w:t xml:space="preserve"> the performance of analytical methods for pharmacologically active substances, the interpretation of results and the methods to be used for sampling</w:t>
      </w:r>
      <w:r w:rsidR="009F1A17" w:rsidRPr="00A27A8C">
        <w:rPr>
          <w:b/>
        </w:rPr>
        <w:t>.</w:t>
      </w:r>
    </w:p>
    <w:p w14:paraId="1D56DEEB" w14:textId="77777777" w:rsidR="008062C3" w:rsidRDefault="008062C3" w:rsidP="008062C3">
      <w:pPr>
        <w:pStyle w:val="IntrtEEE"/>
      </w:pPr>
      <w:r w:rsidRPr="006F4A60">
        <w:t>(Text with EEA relevance)</w:t>
      </w:r>
    </w:p>
    <w:p w14:paraId="28B2A0E2" w14:textId="77777777" w:rsidR="00140DF2" w:rsidRPr="00FE15B6" w:rsidRDefault="00140DF2" w:rsidP="00140DF2">
      <w:pPr>
        <w:pStyle w:val="Institutionquiagit"/>
      </w:pPr>
      <w:r w:rsidRPr="00FE15B6">
        <w:t>THE EUROPEAN COMMISSION,</w:t>
      </w:r>
    </w:p>
    <w:p w14:paraId="67D2CAD3" w14:textId="77777777" w:rsidR="00140DF2" w:rsidRPr="00FE15B6" w:rsidRDefault="00140DF2" w:rsidP="00140DF2">
      <w:r w:rsidRPr="00FE15B6">
        <w:t>Having regard to the Treaty on the Functioning of the European Union,</w:t>
      </w:r>
    </w:p>
    <w:p w14:paraId="1CBC00DB" w14:textId="77777777" w:rsidR="00140DF2" w:rsidRDefault="00BF6C71" w:rsidP="00140DF2">
      <w:r w:rsidRPr="00FE15B6">
        <w:t>Having regard to Regulation (EU) 2017/625</w:t>
      </w:r>
      <w:r w:rsidR="002D65A0">
        <w:rPr>
          <w:rStyle w:val="FootnoteReference"/>
        </w:rPr>
        <w:footnoteReference w:id="1"/>
      </w:r>
      <w:r w:rsidRPr="00FE15B6">
        <w:t xml:space="preserve"> of the European Parliament and the Council of 15 March 2017 on official controls and other official activities performed to ensure the application of food and feed law, rules on animal health and welfare, plant healt</w:t>
      </w:r>
      <w:r w:rsidR="003527E6">
        <w:t xml:space="preserve">h </w:t>
      </w:r>
      <w:r w:rsidR="00E861FB">
        <w:t>and plant protection product</w:t>
      </w:r>
      <w:r w:rsidR="003527E6">
        <w:t>,</w:t>
      </w:r>
      <w:r w:rsidRPr="00FE15B6">
        <w:t xml:space="preserve"> amending Regulations (EC) No 999/2001, (EC) No 396/2005, (EC) No 1069/2009, (EC) 1107/2009, (EU)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60/425/EEC, 91/496/EEC, 96/23/EC, 96/93/EC and 97/78/EC and Council Decision 92/438/EEC (Official Controls Regulation)</w:t>
      </w:r>
      <w:r w:rsidR="009A5ADA">
        <w:t>,</w:t>
      </w:r>
      <w:r w:rsidR="009D4B4D">
        <w:t xml:space="preserve"> and in particular Article</w:t>
      </w:r>
      <w:r w:rsidR="000F6FFD">
        <w:t xml:space="preserve"> 34(6) thereof,</w:t>
      </w:r>
    </w:p>
    <w:p w14:paraId="7379A33A" w14:textId="77777777" w:rsidR="000F6FFD" w:rsidRPr="00EB7E20" w:rsidRDefault="000F6FFD" w:rsidP="00140DF2"/>
    <w:p w14:paraId="1C77E7D3" w14:textId="77777777" w:rsidR="00480707" w:rsidRPr="00FE15B6" w:rsidRDefault="003C6ED1" w:rsidP="003C6ED1">
      <w:pPr>
        <w:pStyle w:val="Considrant"/>
      </w:pPr>
      <w:r w:rsidRPr="00362B66">
        <w:t>Regulation (EU) 2017/625 lays down rules for the performance of official controls and other official activities by the competent authorities of the Member States to verify compliance with Union legislation inter alia in the area of food safety at all stages of production, processing and distribution. It provides for specific rules on official controls in relation to substances whose use may result in residues in food and feed.</w:t>
      </w:r>
    </w:p>
    <w:p w14:paraId="3F0557F4" w14:textId="77777777" w:rsidR="0005098C" w:rsidRDefault="0005098C" w:rsidP="0005098C">
      <w:pPr>
        <w:pStyle w:val="Considrant"/>
      </w:pPr>
      <w:r>
        <w:lastRenderedPageBreak/>
        <w:t xml:space="preserve">Articles 34(1) to 34(5) of Regulation (EU) 2017/625 set general requirements for the methods to be used for sampling, </w:t>
      </w:r>
      <w:r w:rsidRPr="00362B66">
        <w:t>laboratory anal</w:t>
      </w:r>
      <w:r>
        <w:t>ysis and</w:t>
      </w:r>
      <w:r w:rsidRPr="00362B66">
        <w:t xml:space="preserve"> tests during official controls and other official activities</w:t>
      </w:r>
      <w:r>
        <w:t xml:space="preserve"> and Article (6) lays down that the Commission by means of implementing acts may lay down additional rules on the methods to be used for sampling, for laboratory analysis and tests and performance criteria, on analysis and test parameters, on measurement uncertainty and on procedures for the validation of those methods, the interpretation of analytical and testing results. In order</w:t>
      </w:r>
      <w:r w:rsidRPr="00652242">
        <w:t xml:space="preserve"> ensure the reliability and consistency of official controls</w:t>
      </w:r>
      <w:r>
        <w:t xml:space="preserve"> </w:t>
      </w:r>
      <w:r w:rsidRPr="00652242">
        <w:t xml:space="preserve">and other official activities </w:t>
      </w:r>
      <w:r>
        <w:t>on residues of pharmacologically active substances,</w:t>
      </w:r>
      <w:r w:rsidRPr="00652242">
        <w:t xml:space="preserve"> </w:t>
      </w:r>
      <w:r>
        <w:t>such additional rules should be set.</w:t>
      </w:r>
    </w:p>
    <w:p w14:paraId="4B0BFE5C" w14:textId="77777777" w:rsidR="004415F0" w:rsidRDefault="00B9290F" w:rsidP="0093440E">
      <w:pPr>
        <w:pStyle w:val="Considrant"/>
      </w:pPr>
      <w:bookmarkStart w:id="1" w:name="_Ref6583384"/>
      <w:r>
        <w:t>Commission Decision 2002/657/EC</w:t>
      </w:r>
      <w:bookmarkStart w:id="2" w:name="_Ref6583574"/>
      <w:r w:rsidR="003A4DA6">
        <w:rPr>
          <w:rStyle w:val="FootnoteReference"/>
        </w:rPr>
        <w:footnoteReference w:id="2"/>
      </w:r>
      <w:bookmarkEnd w:id="2"/>
      <w:r>
        <w:t xml:space="preserve"> sets requirements for the performance of analytical methods and the interpretation of results and Commission Decision 98/179/EC</w:t>
      </w:r>
      <w:bookmarkStart w:id="3" w:name="_Ref6927137"/>
      <w:r w:rsidR="009D4B4D">
        <w:rPr>
          <w:rStyle w:val="FootnoteReference"/>
        </w:rPr>
        <w:footnoteReference w:id="3"/>
      </w:r>
      <w:bookmarkEnd w:id="3"/>
      <w:r>
        <w:t xml:space="preserve"> lays down detailed rules on official sampling for the monitoring of certain substances and residues thereof in live animals and animal products. In view of new scientific developments, these rules should be updated and they should be </w:t>
      </w:r>
      <w:r w:rsidRPr="002302F6">
        <w:t>integrated into the framework for official controls defined by Regulation (EU) 2017/</w:t>
      </w:r>
      <w:r>
        <w:t>625.</w:t>
      </w:r>
      <w:bookmarkEnd w:id="1"/>
      <w:r w:rsidR="003C6ED1">
        <w:t xml:space="preserve"> </w:t>
      </w:r>
    </w:p>
    <w:p w14:paraId="2629FDA5" w14:textId="77777777" w:rsidR="00F44844" w:rsidRDefault="000F1B44" w:rsidP="00F44844">
      <w:pPr>
        <w:pStyle w:val="Considrant"/>
      </w:pPr>
      <w:r>
        <w:t>Commission Decisions 98/179</w:t>
      </w:r>
      <w:r w:rsidR="00FB703B">
        <w:t>/</w:t>
      </w:r>
      <w:r w:rsidR="00F44844">
        <w:t>EC</w:t>
      </w:r>
      <w:r w:rsidR="00B814C2" w:rsidRPr="00B814C2">
        <w:rPr>
          <w:vertAlign w:val="superscript"/>
        </w:rPr>
        <w:fldChar w:fldCharType="begin"/>
      </w:r>
      <w:r w:rsidR="00B814C2" w:rsidRPr="00B814C2">
        <w:rPr>
          <w:vertAlign w:val="superscript"/>
        </w:rPr>
        <w:instrText xml:space="preserve"> NOTEREF _Ref6927137 \h  \* MERGEFORMAT </w:instrText>
      </w:r>
      <w:r w:rsidR="00B814C2" w:rsidRPr="00B814C2">
        <w:rPr>
          <w:vertAlign w:val="superscript"/>
        </w:rPr>
      </w:r>
      <w:r w:rsidR="00B814C2" w:rsidRPr="00B814C2">
        <w:rPr>
          <w:vertAlign w:val="superscript"/>
        </w:rPr>
        <w:fldChar w:fldCharType="separate"/>
      </w:r>
      <w:r w:rsidR="00D029DD">
        <w:rPr>
          <w:vertAlign w:val="superscript"/>
        </w:rPr>
        <w:t>3</w:t>
      </w:r>
      <w:r w:rsidR="00B814C2" w:rsidRPr="00B814C2">
        <w:rPr>
          <w:vertAlign w:val="superscript"/>
        </w:rPr>
        <w:fldChar w:fldCharType="end"/>
      </w:r>
      <w:r w:rsidR="00F44844">
        <w:t xml:space="preserve"> and 2002/657/EC</w:t>
      </w:r>
      <w:r w:rsidR="00B814C2" w:rsidRPr="00B814C2">
        <w:rPr>
          <w:vertAlign w:val="superscript"/>
        </w:rPr>
        <w:fldChar w:fldCharType="begin"/>
      </w:r>
      <w:r w:rsidR="00B814C2" w:rsidRPr="00B814C2">
        <w:rPr>
          <w:vertAlign w:val="superscript"/>
        </w:rPr>
        <w:instrText xml:space="preserve"> NOTEREF _Ref6583574 \h  \* MERGEFORMAT </w:instrText>
      </w:r>
      <w:r w:rsidR="00B814C2" w:rsidRPr="00B814C2">
        <w:rPr>
          <w:vertAlign w:val="superscript"/>
        </w:rPr>
      </w:r>
      <w:r w:rsidR="00B814C2" w:rsidRPr="00B814C2">
        <w:rPr>
          <w:vertAlign w:val="superscript"/>
        </w:rPr>
        <w:fldChar w:fldCharType="separate"/>
      </w:r>
      <w:r w:rsidR="00D029DD">
        <w:rPr>
          <w:vertAlign w:val="superscript"/>
        </w:rPr>
        <w:t>2</w:t>
      </w:r>
      <w:r w:rsidR="00B814C2" w:rsidRPr="00B814C2">
        <w:rPr>
          <w:vertAlign w:val="superscript"/>
        </w:rPr>
        <w:fldChar w:fldCharType="end"/>
      </w:r>
      <w:r w:rsidR="00F44844" w:rsidRPr="0074259C">
        <w:rPr>
          <w:vertAlign w:val="superscript"/>
        </w:rPr>
        <w:t xml:space="preserve"> </w:t>
      </w:r>
      <w:r w:rsidR="00F44844">
        <w:t>should be repealed as their provisions are replaced by the provisions included in this Regulation.</w:t>
      </w:r>
    </w:p>
    <w:p w14:paraId="33F45DD6" w14:textId="77777777" w:rsidR="002E44E3" w:rsidRDefault="002E44E3" w:rsidP="002E44E3">
      <w:pPr>
        <w:pStyle w:val="Considrant"/>
      </w:pPr>
      <w:r>
        <w:t>The measures provided for in this Regulation are in accordance with the opinion of the Standing Committee on Plants, Animals, Food and Feed,</w:t>
      </w:r>
    </w:p>
    <w:p w14:paraId="40C0ABBD" w14:textId="77777777" w:rsidR="002E44E3" w:rsidRDefault="002E44E3" w:rsidP="002E44E3">
      <w:pPr>
        <w:pStyle w:val="ListParagraph"/>
      </w:pPr>
    </w:p>
    <w:p w14:paraId="3A895910" w14:textId="77777777" w:rsidR="00140DF2" w:rsidRDefault="00140DF2" w:rsidP="00140DF2">
      <w:pPr>
        <w:pStyle w:val="Formuledadoption"/>
      </w:pPr>
      <w:r w:rsidRPr="00EB7E20">
        <w:t>HAS ADOPTED THIS REGULATION:</w:t>
      </w:r>
    </w:p>
    <w:p w14:paraId="422A87C4" w14:textId="77777777" w:rsidR="00A34087" w:rsidRDefault="001261C3" w:rsidP="00140DF2">
      <w:pPr>
        <w:pStyle w:val="Titrearticle"/>
      </w:pPr>
      <w:r>
        <w:t>Article 1</w:t>
      </w:r>
    </w:p>
    <w:p w14:paraId="74A73295" w14:textId="77777777" w:rsidR="0024249E" w:rsidRPr="00971180" w:rsidRDefault="0024249E" w:rsidP="0024249E">
      <w:pPr>
        <w:jc w:val="center"/>
        <w:rPr>
          <w:b/>
        </w:rPr>
      </w:pPr>
      <w:r>
        <w:rPr>
          <w:b/>
        </w:rPr>
        <w:t xml:space="preserve">Subject matter and scope </w:t>
      </w:r>
    </w:p>
    <w:p w14:paraId="4D4C69CD" w14:textId="77777777" w:rsidR="0024249E" w:rsidRDefault="0024249E" w:rsidP="0002039D">
      <w:pPr>
        <w:rPr>
          <w:rFonts w:eastAsia="Arial"/>
          <w:szCs w:val="24"/>
        </w:rPr>
      </w:pPr>
    </w:p>
    <w:p w14:paraId="0783B811" w14:textId="77777777" w:rsidR="005E7F30" w:rsidRPr="005E7F30" w:rsidRDefault="005E7F30" w:rsidP="005E7F30">
      <w:r w:rsidRPr="005E7F30">
        <w:t>This Regulation provides rules for methods of analysis and sampling for residues of pharmacologically active substances in live food-producing animals, their body parts and fluids, excrements, tissues, products of animal origin, animal by-products and it provides rules for the interpretation of analytical results of these laboratory analyses.</w:t>
      </w:r>
    </w:p>
    <w:p w14:paraId="63390870" w14:textId="77777777" w:rsidR="0002039D" w:rsidRPr="0002039D" w:rsidRDefault="0002039D" w:rsidP="0002039D"/>
    <w:p w14:paraId="1E05AD98" w14:textId="77777777" w:rsidR="00140DF2" w:rsidRDefault="001261C3" w:rsidP="00140DF2">
      <w:pPr>
        <w:pStyle w:val="Titrearticle"/>
      </w:pPr>
      <w:r>
        <w:lastRenderedPageBreak/>
        <w:t>Article 2</w:t>
      </w:r>
    </w:p>
    <w:p w14:paraId="5AE17230" w14:textId="77777777" w:rsidR="00BC5A54" w:rsidRPr="00BC5A54" w:rsidRDefault="00BC5A54" w:rsidP="00BC5A54">
      <w:pPr>
        <w:jc w:val="center"/>
        <w:rPr>
          <w:b/>
        </w:rPr>
      </w:pPr>
      <w:r w:rsidRPr="00BC5A54">
        <w:rPr>
          <w:b/>
        </w:rPr>
        <w:t>Definitions</w:t>
      </w:r>
    </w:p>
    <w:p w14:paraId="15E690B4" w14:textId="351EAA1E" w:rsidR="00457E44" w:rsidRDefault="00457E44" w:rsidP="00546974">
      <w:pPr>
        <w:rPr>
          <w:rFonts w:eastAsia="Arial"/>
          <w:szCs w:val="24"/>
        </w:rPr>
      </w:pPr>
      <w:r w:rsidRPr="00457E44">
        <w:rPr>
          <w:rFonts w:eastAsia="Arial"/>
          <w:szCs w:val="24"/>
        </w:rPr>
        <w:t>For the purpose of this Regulation</w:t>
      </w:r>
      <w:r w:rsidR="009055C5">
        <w:rPr>
          <w:rFonts w:eastAsia="Arial"/>
          <w:szCs w:val="24"/>
        </w:rPr>
        <w:t>,</w:t>
      </w:r>
      <w:r w:rsidRPr="00457E44">
        <w:rPr>
          <w:rFonts w:eastAsia="Arial"/>
          <w:szCs w:val="24"/>
        </w:rPr>
        <w:t xml:space="preserve"> the definit</w:t>
      </w:r>
      <w:r w:rsidR="005E60F2">
        <w:rPr>
          <w:rFonts w:eastAsia="Arial"/>
          <w:szCs w:val="24"/>
        </w:rPr>
        <w:t xml:space="preserve">ions of </w:t>
      </w:r>
      <w:r w:rsidRPr="00457E44">
        <w:rPr>
          <w:rFonts w:eastAsia="Arial"/>
          <w:szCs w:val="24"/>
        </w:rPr>
        <w:t xml:space="preserve">Regulation </w:t>
      </w:r>
      <w:r w:rsidRPr="00391D05">
        <w:rPr>
          <w:rFonts w:eastAsia="Arial"/>
          <w:szCs w:val="24"/>
          <w:highlight w:val="yellow"/>
        </w:rPr>
        <w:t>SANTE-11987-2017</w:t>
      </w:r>
      <w:r w:rsidR="004A408E">
        <w:rPr>
          <w:rStyle w:val="FootnoteReference"/>
          <w:rFonts w:eastAsia="Arial"/>
          <w:szCs w:val="24"/>
        </w:rPr>
        <w:footnoteReference w:id="4"/>
      </w:r>
      <w:r w:rsidRPr="00457E44">
        <w:rPr>
          <w:rFonts w:eastAsia="Arial"/>
          <w:szCs w:val="24"/>
        </w:rPr>
        <w:t xml:space="preserve"> and Regulation </w:t>
      </w:r>
      <w:r w:rsidRPr="00391D05">
        <w:rPr>
          <w:rFonts w:eastAsia="Arial"/>
          <w:szCs w:val="24"/>
          <w:highlight w:val="yellow"/>
        </w:rPr>
        <w:t>SANTE-10413-2015</w:t>
      </w:r>
      <w:r w:rsidR="004A408E">
        <w:rPr>
          <w:rStyle w:val="FootnoteReference"/>
          <w:rFonts w:eastAsia="Arial"/>
          <w:szCs w:val="24"/>
        </w:rPr>
        <w:footnoteReference w:id="5"/>
      </w:r>
      <w:r w:rsidRPr="00457E44">
        <w:rPr>
          <w:rFonts w:eastAsia="Arial"/>
          <w:szCs w:val="24"/>
        </w:rPr>
        <w:t xml:space="preserve"> shall apply. The following definitions shall also apply:</w:t>
      </w:r>
    </w:p>
    <w:p w14:paraId="494A0722" w14:textId="77777777" w:rsidR="00457E44" w:rsidRDefault="00457E44" w:rsidP="00546974">
      <w:pPr>
        <w:rPr>
          <w:rFonts w:eastAsia="Arial"/>
          <w:szCs w:val="24"/>
        </w:rPr>
      </w:pPr>
    </w:p>
    <w:p w14:paraId="3800709A"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 xml:space="preserve">Accuracy means the closeness of agreement between a test result and the accepted true reference value. It is determined by estimating </w:t>
      </w:r>
      <w:bookmarkStart w:id="4" w:name="_Ref6475771"/>
      <w:r w:rsidR="00391D05">
        <w:rPr>
          <w:rFonts w:ascii="Times New Roman" w:hAnsi="Times New Roman" w:cs="Times New Roman"/>
          <w:sz w:val="24"/>
          <w:szCs w:val="24"/>
        </w:rPr>
        <w:t>trueness and precision.</w:t>
      </w:r>
      <w:bookmarkStart w:id="5" w:name="_Ref6927744"/>
      <w:r w:rsidR="000E0DAB" w:rsidRPr="00391D05">
        <w:rPr>
          <w:rStyle w:val="FootnoteReference"/>
          <w:rFonts w:ascii="Times New Roman" w:hAnsi="Times New Roman" w:cs="Times New Roman"/>
          <w:sz w:val="24"/>
          <w:szCs w:val="24"/>
        </w:rPr>
        <w:footnoteReference w:id="6"/>
      </w:r>
      <w:bookmarkEnd w:id="4"/>
      <w:bookmarkEnd w:id="5"/>
    </w:p>
    <w:p w14:paraId="03ECA834"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Alpha (α) error means the probability that the tested sample is compliant, even though a non-compliant measurement has been obtained (the probability of a false non-compliant decision).</w:t>
      </w:r>
    </w:p>
    <w:p w14:paraId="28FD87B8"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Analyte means the substance that has to be detected, identified and/or quantified and derivatives emerging during its analysis.</w:t>
      </w:r>
    </w:p>
    <w:p w14:paraId="214C537F"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Beta (β) error means the probability that the tested sample is truly non-compliant, even though a compliant measurement has been obtained (the probability of a false compliant decision).</w:t>
      </w:r>
    </w:p>
    <w:p w14:paraId="082BE4B7" w14:textId="74543CE3"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 xml:space="preserve">Bias means the difference between the </w:t>
      </w:r>
      <w:r w:rsidR="00FB703B">
        <w:rPr>
          <w:rFonts w:ascii="Times New Roman" w:hAnsi="Times New Roman" w:cs="Times New Roman"/>
          <w:sz w:val="24"/>
          <w:szCs w:val="24"/>
        </w:rPr>
        <w:t>estimated value</w:t>
      </w:r>
      <w:r w:rsidR="00FB703B" w:rsidRPr="00391D05">
        <w:rPr>
          <w:rFonts w:ascii="Times New Roman" w:hAnsi="Times New Roman" w:cs="Times New Roman"/>
          <w:sz w:val="24"/>
          <w:szCs w:val="24"/>
        </w:rPr>
        <w:t xml:space="preserve"> </w:t>
      </w:r>
      <w:r w:rsidRPr="00391D05">
        <w:rPr>
          <w:rFonts w:ascii="Times New Roman" w:hAnsi="Times New Roman" w:cs="Times New Roman"/>
          <w:sz w:val="24"/>
          <w:szCs w:val="24"/>
        </w:rPr>
        <w:t xml:space="preserve">of the test result and an accepted reference </w:t>
      </w:r>
      <w:r w:rsidR="006B21E3" w:rsidRPr="00391D05">
        <w:rPr>
          <w:rFonts w:ascii="Times New Roman" w:hAnsi="Times New Roman" w:cs="Times New Roman"/>
          <w:sz w:val="24"/>
          <w:szCs w:val="24"/>
        </w:rPr>
        <w:t>value</w:t>
      </w:r>
      <w:r w:rsidR="00547E62" w:rsidRPr="00391D05">
        <w:rPr>
          <w:rFonts w:ascii="Times New Roman" w:hAnsi="Times New Roman" w:cs="Times New Roman"/>
          <w:sz w:val="24"/>
          <w:szCs w:val="24"/>
          <w:vertAlign w:val="superscript"/>
        </w:rPr>
        <w:fldChar w:fldCharType="begin"/>
      </w:r>
      <w:r w:rsidR="00547E62" w:rsidRPr="00391D05">
        <w:rPr>
          <w:rFonts w:ascii="Times New Roman" w:hAnsi="Times New Roman" w:cs="Times New Roman"/>
          <w:sz w:val="24"/>
          <w:szCs w:val="24"/>
          <w:vertAlign w:val="superscript"/>
        </w:rPr>
        <w:instrText xml:space="preserve"> NOTEREF _Ref6475771 \h  \* MERGEFORMAT </w:instrText>
      </w:r>
      <w:r w:rsidR="00547E62" w:rsidRPr="00391D05">
        <w:rPr>
          <w:rFonts w:ascii="Times New Roman" w:hAnsi="Times New Roman" w:cs="Times New Roman"/>
          <w:sz w:val="24"/>
          <w:szCs w:val="24"/>
          <w:vertAlign w:val="superscript"/>
        </w:rPr>
      </w:r>
      <w:r w:rsidR="00547E62" w:rsidRPr="00391D05">
        <w:rPr>
          <w:rFonts w:ascii="Times New Roman" w:hAnsi="Times New Roman" w:cs="Times New Roman"/>
          <w:sz w:val="24"/>
          <w:szCs w:val="24"/>
          <w:vertAlign w:val="superscript"/>
        </w:rPr>
        <w:fldChar w:fldCharType="separate"/>
      </w:r>
      <w:r w:rsidR="00D029DD">
        <w:rPr>
          <w:rFonts w:ascii="Times New Roman" w:hAnsi="Times New Roman" w:cs="Times New Roman"/>
          <w:sz w:val="24"/>
          <w:szCs w:val="24"/>
          <w:vertAlign w:val="superscript"/>
        </w:rPr>
        <w:t>6</w:t>
      </w:r>
      <w:r w:rsidR="00547E62" w:rsidRPr="00391D05">
        <w:rPr>
          <w:rFonts w:ascii="Times New Roman" w:hAnsi="Times New Roman" w:cs="Times New Roman"/>
          <w:sz w:val="24"/>
          <w:szCs w:val="24"/>
          <w:vertAlign w:val="superscript"/>
        </w:rPr>
        <w:fldChar w:fldCharType="end"/>
      </w:r>
      <w:r w:rsidR="00E02C32" w:rsidRPr="00391D05">
        <w:rPr>
          <w:rFonts w:ascii="Times New Roman" w:hAnsi="Times New Roman" w:cs="Times New Roman"/>
          <w:sz w:val="24"/>
          <w:szCs w:val="24"/>
        </w:rPr>
        <w:t xml:space="preserve"> </w:t>
      </w:r>
      <w:r w:rsidR="000E0DAB" w:rsidRPr="00391D05">
        <w:rPr>
          <w:rFonts w:ascii="Times New Roman" w:hAnsi="Times New Roman" w:cs="Times New Roman"/>
          <w:sz w:val="24"/>
          <w:szCs w:val="24"/>
        </w:rPr>
        <w:t>.</w:t>
      </w:r>
    </w:p>
    <w:p w14:paraId="16F1EF17"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Calibration standard means a traceable reference for measurements that represents the quantity of substance of interest in a way that ties its value to a reference base.</w:t>
      </w:r>
    </w:p>
    <w:p w14:paraId="5A6DF815"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Certified reference material (CRM) means a material that has had a specified analyte content assigned to it.</w:t>
      </w:r>
    </w:p>
    <w:p w14:paraId="47D31658" w14:textId="2CF3D6E0"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 xml:space="preserve">Co-chromatography means a procedure in which the </w:t>
      </w:r>
      <w:r w:rsidR="00FB703B">
        <w:rPr>
          <w:rFonts w:ascii="Times New Roman" w:hAnsi="Times New Roman" w:cs="Times New Roman"/>
          <w:sz w:val="24"/>
          <w:szCs w:val="24"/>
        </w:rPr>
        <w:t xml:space="preserve">sample </w:t>
      </w:r>
      <w:r w:rsidRPr="00391D05">
        <w:rPr>
          <w:rFonts w:ascii="Times New Roman" w:hAnsi="Times New Roman" w:cs="Times New Roman"/>
          <w:sz w:val="24"/>
          <w:szCs w:val="24"/>
        </w:rPr>
        <w:t xml:space="preserve">extract prior to the chromatographic step(s) is divided into two parts. Part one is chromatographed as such. Part two is mixed with the standard analyte that is to be measured. Then this mixture is also chromatographed. The amount of added standard analyte has to be similar to the estimated amount of the analyte in the extract. </w:t>
      </w:r>
      <w:r w:rsidR="00FB703B">
        <w:rPr>
          <w:rFonts w:ascii="Times New Roman" w:hAnsi="Times New Roman" w:cs="Times New Roman"/>
          <w:sz w:val="24"/>
          <w:szCs w:val="24"/>
        </w:rPr>
        <w:t xml:space="preserve">Co-chromatography </w:t>
      </w:r>
      <w:r w:rsidRPr="00391D05">
        <w:rPr>
          <w:rFonts w:ascii="Times New Roman" w:hAnsi="Times New Roman" w:cs="Times New Roman"/>
          <w:sz w:val="24"/>
          <w:szCs w:val="24"/>
        </w:rPr>
        <w:t>is</w:t>
      </w:r>
      <w:r w:rsidR="003B285A">
        <w:rPr>
          <w:rFonts w:ascii="Times New Roman" w:hAnsi="Times New Roman" w:cs="Times New Roman"/>
          <w:sz w:val="24"/>
          <w:szCs w:val="24"/>
        </w:rPr>
        <w:t xml:space="preserve"> </w:t>
      </w:r>
      <w:r w:rsidR="00FB703B">
        <w:rPr>
          <w:rFonts w:ascii="Times New Roman" w:hAnsi="Times New Roman" w:cs="Times New Roman"/>
          <w:sz w:val="24"/>
          <w:szCs w:val="24"/>
        </w:rPr>
        <w:t>used</w:t>
      </w:r>
      <w:r w:rsidRPr="00391D05">
        <w:rPr>
          <w:rFonts w:ascii="Times New Roman" w:hAnsi="Times New Roman" w:cs="Times New Roman"/>
          <w:sz w:val="24"/>
          <w:szCs w:val="24"/>
        </w:rPr>
        <w:t xml:space="preserve"> to improve the identification of an analyte when chromatographic methods are used, especially when no suitable internal standard can be used.</w:t>
      </w:r>
    </w:p>
    <w:p w14:paraId="080D0A36"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Collaborative study means analysing the same sample by the same method to determine the performance characteristics of the method in different laboratories. The study allows to calculate the random measurement error and laboratory bias.</w:t>
      </w:r>
    </w:p>
    <w:p w14:paraId="774D5DBB"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 xml:space="preserve">Confirmatory method means a method that provides full or complementary information enabling the substance to be unequivocally identified and if necessary quantified: </w:t>
      </w:r>
    </w:p>
    <w:p w14:paraId="6E11BDE6" w14:textId="77777777" w:rsidR="00457E44" w:rsidRPr="00391D05" w:rsidRDefault="00457E44" w:rsidP="003B285A">
      <w:pPr>
        <w:pStyle w:val="ListParagraph"/>
        <w:jc w:val="both"/>
        <w:rPr>
          <w:rFonts w:ascii="Times New Roman" w:hAnsi="Times New Roman" w:cs="Times New Roman"/>
          <w:sz w:val="24"/>
          <w:szCs w:val="24"/>
        </w:rPr>
      </w:pPr>
      <w:r w:rsidRPr="00391D05">
        <w:rPr>
          <w:rFonts w:ascii="Times New Roman" w:hAnsi="Times New Roman" w:cs="Times New Roman"/>
          <w:sz w:val="24"/>
          <w:szCs w:val="24"/>
        </w:rPr>
        <w:lastRenderedPageBreak/>
        <w:t xml:space="preserve">-at the MRL or ML for authorised substances; or </w:t>
      </w:r>
    </w:p>
    <w:p w14:paraId="39AF2135" w14:textId="71FAA202" w:rsidR="00457E44" w:rsidRPr="00391D05" w:rsidRDefault="00457E44" w:rsidP="003B285A">
      <w:pPr>
        <w:pStyle w:val="ListParagraph"/>
        <w:jc w:val="both"/>
        <w:rPr>
          <w:rFonts w:ascii="Times New Roman" w:hAnsi="Times New Roman" w:cs="Times New Roman"/>
          <w:sz w:val="24"/>
          <w:szCs w:val="24"/>
        </w:rPr>
      </w:pPr>
      <w:r w:rsidRPr="00391D05">
        <w:rPr>
          <w:rFonts w:ascii="Times New Roman" w:hAnsi="Times New Roman" w:cs="Times New Roman"/>
          <w:sz w:val="24"/>
          <w:szCs w:val="24"/>
        </w:rPr>
        <w:t>-at the RPA for prohibited or unauthorised substances, for which an RPA is established; or</w:t>
      </w:r>
    </w:p>
    <w:p w14:paraId="0E99C373" w14:textId="0817DBBD" w:rsidR="00FF4472" w:rsidRDefault="00457E44" w:rsidP="003B285A">
      <w:pPr>
        <w:pStyle w:val="ListParagraph"/>
        <w:jc w:val="both"/>
        <w:rPr>
          <w:rFonts w:ascii="Times New Roman" w:hAnsi="Times New Roman" w:cs="Times New Roman"/>
          <w:sz w:val="24"/>
          <w:szCs w:val="24"/>
        </w:rPr>
      </w:pPr>
      <w:r w:rsidRPr="00391D05">
        <w:rPr>
          <w:rFonts w:ascii="Times New Roman" w:hAnsi="Times New Roman" w:cs="Times New Roman"/>
          <w:sz w:val="24"/>
          <w:szCs w:val="24"/>
        </w:rPr>
        <w:t xml:space="preserve">-at a concentration as low as analytically achievable, taking into account the most recent scientific developments, for prohibited or unauthorised substances, </w:t>
      </w:r>
      <w:r w:rsidR="00391D05">
        <w:rPr>
          <w:rFonts w:ascii="Times New Roman" w:hAnsi="Times New Roman" w:cs="Times New Roman"/>
          <w:sz w:val="24"/>
          <w:szCs w:val="24"/>
        </w:rPr>
        <w:t>f</w:t>
      </w:r>
      <w:r w:rsidRPr="00391D05">
        <w:rPr>
          <w:rFonts w:ascii="Times New Roman" w:hAnsi="Times New Roman" w:cs="Times New Roman"/>
          <w:sz w:val="24"/>
          <w:szCs w:val="24"/>
        </w:rPr>
        <w:t xml:space="preserve">or which no RPA is established. </w:t>
      </w:r>
    </w:p>
    <w:p w14:paraId="3BEBDA69" w14:textId="77777777" w:rsidR="00A44E03" w:rsidRPr="00A52B5C" w:rsidRDefault="00A44E03" w:rsidP="003B285A">
      <w:pPr>
        <w:pStyle w:val="ListParagraph"/>
        <w:numPr>
          <w:ilvl w:val="0"/>
          <w:numId w:val="2"/>
        </w:numPr>
        <w:jc w:val="both"/>
        <w:rPr>
          <w:rFonts w:ascii="Times New Roman" w:hAnsi="Times New Roman" w:cs="Times New Roman"/>
          <w:sz w:val="24"/>
          <w:szCs w:val="24"/>
        </w:rPr>
      </w:pPr>
      <w:r w:rsidRPr="00546974">
        <w:rPr>
          <w:rFonts w:ascii="Times New Roman" w:hAnsi="Times New Roman" w:cs="Times New Roman"/>
          <w:sz w:val="24"/>
          <w:szCs w:val="24"/>
        </w:rPr>
        <w:t>Coverage factor (k)</w:t>
      </w:r>
      <w:r w:rsidR="004C707B">
        <w:rPr>
          <w:rFonts w:ascii="Times New Roman" w:hAnsi="Times New Roman" w:cs="Times New Roman"/>
          <w:sz w:val="24"/>
          <w:szCs w:val="24"/>
        </w:rPr>
        <w:t xml:space="preserve"> means a number which </w:t>
      </w:r>
      <w:r w:rsidR="00FE1175">
        <w:rPr>
          <w:rFonts w:ascii="Times New Roman" w:hAnsi="Times New Roman" w:cs="Times New Roman"/>
          <w:sz w:val="24"/>
          <w:szCs w:val="24"/>
        </w:rPr>
        <w:t>expresses desired level of confidence and which is associated with the</w:t>
      </w:r>
      <w:r w:rsidR="004C707B">
        <w:rPr>
          <w:rFonts w:ascii="Times New Roman" w:hAnsi="Times New Roman" w:cs="Times New Roman"/>
          <w:sz w:val="24"/>
          <w:szCs w:val="24"/>
        </w:rPr>
        <w:t xml:space="preserve"> expanded measurement uncertainty</w:t>
      </w:r>
      <w:r w:rsidR="00FE1175">
        <w:rPr>
          <w:rFonts w:ascii="Times New Roman" w:hAnsi="Times New Roman" w:cs="Times New Roman"/>
          <w:sz w:val="24"/>
          <w:szCs w:val="24"/>
        </w:rPr>
        <w:t>.</w:t>
      </w:r>
    </w:p>
    <w:p w14:paraId="6226BA7F"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 xml:space="preserve">Decision limit (CCα) means the limit at and above which it can be concluded with an error probability of α that a sample is non-compliant. </w:t>
      </w:r>
    </w:p>
    <w:p w14:paraId="02CD7780"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 xml:space="preserve">Detection capability of screening (CCβ) means the smallest content of the analyte that may be detected and or quantified in a sample with an error probability of β. </w:t>
      </w:r>
    </w:p>
    <w:p w14:paraId="1F6E296B" w14:textId="77777777" w:rsidR="00457E44" w:rsidRPr="00391D05" w:rsidRDefault="00457E44" w:rsidP="003B285A">
      <w:pPr>
        <w:pStyle w:val="ListParagraph"/>
        <w:numPr>
          <w:ilvl w:val="1"/>
          <w:numId w:val="2"/>
        </w:numPr>
        <w:jc w:val="both"/>
        <w:rPr>
          <w:rFonts w:ascii="Times New Roman" w:hAnsi="Times New Roman" w:cs="Times New Roman"/>
          <w:sz w:val="24"/>
          <w:szCs w:val="24"/>
        </w:rPr>
      </w:pPr>
      <w:r w:rsidRPr="00391D05">
        <w:rPr>
          <w:rFonts w:ascii="Times New Roman" w:hAnsi="Times New Roman" w:cs="Times New Roman"/>
          <w:sz w:val="24"/>
          <w:szCs w:val="24"/>
        </w:rPr>
        <w:t xml:space="preserve">In the case of prohibited or unauthorised pharmacologically active substances, the CCβ screening is the lowest concentration at which a method is able to detect and or quantify with a statistical certainty of 1 – β, samples containing residues of prohibited or unauthorised substances. </w:t>
      </w:r>
    </w:p>
    <w:p w14:paraId="60379F06" w14:textId="77777777" w:rsidR="00457E44" w:rsidRPr="00391D05" w:rsidRDefault="00457E44" w:rsidP="003B285A">
      <w:pPr>
        <w:pStyle w:val="ListParagraph"/>
        <w:numPr>
          <w:ilvl w:val="1"/>
          <w:numId w:val="2"/>
        </w:numPr>
        <w:jc w:val="both"/>
        <w:rPr>
          <w:rFonts w:ascii="Times New Roman" w:hAnsi="Times New Roman" w:cs="Times New Roman"/>
          <w:sz w:val="24"/>
          <w:szCs w:val="24"/>
        </w:rPr>
      </w:pPr>
      <w:r w:rsidRPr="00391D05">
        <w:rPr>
          <w:rFonts w:ascii="Times New Roman" w:hAnsi="Times New Roman" w:cs="Times New Roman"/>
          <w:sz w:val="24"/>
          <w:szCs w:val="24"/>
        </w:rPr>
        <w:t xml:space="preserve">In the case of authorised pharmacologically active substances, the CCβ screening is the concentration at which the method is able to detect and or quantify concentrations below the MRL or ML with a statistical certainty of 1 – β. </w:t>
      </w:r>
    </w:p>
    <w:p w14:paraId="50DCA004" w14:textId="77777777" w:rsidR="00A44E03" w:rsidRDefault="00A44E03" w:rsidP="003B285A">
      <w:pPr>
        <w:pStyle w:val="ListParagraph"/>
        <w:numPr>
          <w:ilvl w:val="0"/>
          <w:numId w:val="2"/>
        </w:numPr>
        <w:jc w:val="both"/>
        <w:rPr>
          <w:rFonts w:ascii="Times New Roman" w:hAnsi="Times New Roman" w:cs="Times New Roman"/>
          <w:sz w:val="24"/>
          <w:szCs w:val="24"/>
        </w:rPr>
      </w:pPr>
      <w:r w:rsidRPr="00A44E03">
        <w:rPr>
          <w:rFonts w:ascii="Times New Roman" w:hAnsi="Times New Roman" w:cs="Times New Roman"/>
          <w:sz w:val="24"/>
          <w:szCs w:val="24"/>
        </w:rPr>
        <w:t xml:space="preserve">Expanded measurement uncertainty (U) provides an interval within which the value of the measurand is believed to lie with a higher level of confidence. U is obtained by multiplying the </w:t>
      </w:r>
      <w:r w:rsidR="004C707B">
        <w:rPr>
          <w:rFonts w:ascii="Times New Roman" w:hAnsi="Times New Roman" w:cs="Times New Roman"/>
          <w:sz w:val="24"/>
          <w:szCs w:val="24"/>
        </w:rPr>
        <w:t>m</w:t>
      </w:r>
      <w:r w:rsidRPr="00A44E03">
        <w:rPr>
          <w:rFonts w:ascii="Times New Roman" w:hAnsi="Times New Roman" w:cs="Times New Roman"/>
          <w:sz w:val="24"/>
          <w:szCs w:val="24"/>
        </w:rPr>
        <w:t xml:space="preserve">easurement uncertainty by a coverage factor </w:t>
      </w:r>
      <w:r w:rsidR="00A52B5C">
        <w:rPr>
          <w:rFonts w:ascii="Times New Roman" w:hAnsi="Times New Roman" w:cs="Times New Roman"/>
          <w:sz w:val="24"/>
          <w:szCs w:val="24"/>
        </w:rPr>
        <w:t>(</w:t>
      </w:r>
      <w:r w:rsidRPr="00A44E03">
        <w:rPr>
          <w:rFonts w:ascii="Times New Roman" w:hAnsi="Times New Roman" w:cs="Times New Roman"/>
          <w:sz w:val="24"/>
          <w:szCs w:val="24"/>
        </w:rPr>
        <w:t>k</w:t>
      </w:r>
      <w:r w:rsidR="00A52B5C">
        <w:rPr>
          <w:rFonts w:ascii="Times New Roman" w:hAnsi="Times New Roman" w:cs="Times New Roman"/>
          <w:sz w:val="24"/>
          <w:szCs w:val="24"/>
        </w:rPr>
        <w:t>)</w:t>
      </w:r>
    </w:p>
    <w:p w14:paraId="3AF39671" w14:textId="77777777" w:rsidR="00457E44" w:rsidRPr="00546974" w:rsidRDefault="00457E44" w:rsidP="003B285A">
      <w:pPr>
        <w:pStyle w:val="ListParagraph"/>
        <w:numPr>
          <w:ilvl w:val="0"/>
          <w:numId w:val="2"/>
        </w:numPr>
        <w:jc w:val="both"/>
        <w:rPr>
          <w:rFonts w:ascii="Times New Roman" w:hAnsi="Times New Roman" w:cs="Times New Roman"/>
          <w:sz w:val="24"/>
          <w:szCs w:val="24"/>
        </w:rPr>
      </w:pPr>
      <w:r w:rsidRPr="00546974">
        <w:rPr>
          <w:rFonts w:ascii="Times New Roman" w:hAnsi="Times New Roman" w:cs="Times New Roman"/>
          <w:sz w:val="24"/>
          <w:szCs w:val="24"/>
        </w:rPr>
        <w:t>Fortified (spiked) sample material means a sample enriched with a known amount of the analyte to be detected.</w:t>
      </w:r>
    </w:p>
    <w:p w14:paraId="2DDF307D" w14:textId="10592D3E"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Interlaboratory study (comparison) means the organisation, performance and evaluation of tests on the same sample by two or more laboratories in accordance with predetermined conditions to determine testing performance. According to its purpose</w:t>
      </w:r>
      <w:r w:rsidR="009055C5">
        <w:rPr>
          <w:rFonts w:ascii="Times New Roman" w:hAnsi="Times New Roman" w:cs="Times New Roman"/>
          <w:sz w:val="24"/>
          <w:szCs w:val="24"/>
        </w:rPr>
        <w:t>,</w:t>
      </w:r>
      <w:r w:rsidRPr="00391D05">
        <w:rPr>
          <w:rFonts w:ascii="Times New Roman" w:hAnsi="Times New Roman" w:cs="Times New Roman"/>
          <w:sz w:val="24"/>
          <w:szCs w:val="24"/>
        </w:rPr>
        <w:t xml:space="preserve"> the study can be classified as collaborative study or proficiency test.</w:t>
      </w:r>
    </w:p>
    <w:p w14:paraId="6653F12B"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Internal Standard (IS) means a substance not contained in the sample and having physico-chemical properties as similar as possible to those of the analyte to be identified. The internal standard is added to each sample as well as to each calibration standard.</w:t>
      </w:r>
    </w:p>
    <w:p w14:paraId="3D57DC95" w14:textId="1EDC1C52"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lastRenderedPageBreak/>
        <w:t xml:space="preserve">Lowest calibrated </w:t>
      </w:r>
      <w:r w:rsidR="00144B56">
        <w:rPr>
          <w:rFonts w:ascii="Times New Roman" w:hAnsi="Times New Roman" w:cs="Times New Roman"/>
          <w:sz w:val="24"/>
          <w:szCs w:val="24"/>
        </w:rPr>
        <w:t>l</w:t>
      </w:r>
      <w:r w:rsidRPr="00391D05">
        <w:rPr>
          <w:rFonts w:ascii="Times New Roman" w:hAnsi="Times New Roman" w:cs="Times New Roman"/>
          <w:sz w:val="24"/>
          <w:szCs w:val="24"/>
        </w:rPr>
        <w:t>evel (LCL) means the lowest concentration on which the determination system has been calibrated.</w:t>
      </w:r>
    </w:p>
    <w:p w14:paraId="6EB6116C" w14:textId="2B4D2B99" w:rsidR="00457E44" w:rsidRPr="00391D05" w:rsidRDefault="00457E44" w:rsidP="003B285A">
      <w:pPr>
        <w:pStyle w:val="ListParagraph"/>
        <w:numPr>
          <w:ilvl w:val="0"/>
          <w:numId w:val="2"/>
        </w:numPr>
        <w:spacing w:after="120"/>
        <w:jc w:val="both"/>
        <w:rPr>
          <w:rFonts w:ascii="Times New Roman" w:eastAsia="Arial" w:hAnsi="Times New Roman" w:cs="Times New Roman"/>
          <w:sz w:val="24"/>
          <w:szCs w:val="24"/>
        </w:rPr>
      </w:pPr>
      <w:r w:rsidRPr="00391D05">
        <w:rPr>
          <w:rFonts w:ascii="Times New Roman" w:eastAsia="Arial" w:hAnsi="Times New Roman" w:cs="Times New Roman"/>
          <w:sz w:val="24"/>
          <w:szCs w:val="24"/>
        </w:rPr>
        <w:t>Lowest calibrated level for unauthorised or prohibited substances means a LCL</w:t>
      </w:r>
      <w:r w:rsidR="009055C5">
        <w:rPr>
          <w:rFonts w:ascii="Times New Roman" w:eastAsia="Arial" w:hAnsi="Times New Roman" w:cs="Times New Roman"/>
          <w:sz w:val="24"/>
          <w:szCs w:val="24"/>
        </w:rPr>
        <w:t>,</w:t>
      </w:r>
      <w:r w:rsidRPr="00391D05">
        <w:rPr>
          <w:rFonts w:ascii="Times New Roman" w:eastAsia="Arial" w:hAnsi="Times New Roman" w:cs="Times New Roman"/>
          <w:sz w:val="24"/>
          <w:szCs w:val="24"/>
        </w:rPr>
        <w:t xml:space="preserve"> which is as low as possible but where for more than 50% of the samples the confirmation criteria are met. </w:t>
      </w:r>
    </w:p>
    <w:p w14:paraId="59C75F82" w14:textId="1E5C35C5"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 xml:space="preserve">Matrix effect means the difference in analytical response between a standard dissolved in the solvent and a </w:t>
      </w:r>
      <w:r w:rsidR="00FF4472">
        <w:rPr>
          <w:rFonts w:ascii="Times New Roman" w:hAnsi="Times New Roman" w:cs="Times New Roman"/>
          <w:sz w:val="24"/>
          <w:szCs w:val="24"/>
        </w:rPr>
        <w:t>matrix-matched standard (</w:t>
      </w:r>
      <w:r w:rsidRPr="00391D05">
        <w:rPr>
          <w:rFonts w:ascii="Times New Roman" w:hAnsi="Times New Roman" w:cs="Times New Roman"/>
          <w:sz w:val="24"/>
          <w:szCs w:val="24"/>
        </w:rPr>
        <w:t xml:space="preserve">fortified post extraction </w:t>
      </w:r>
      <w:r w:rsidR="00FF4472">
        <w:rPr>
          <w:rFonts w:ascii="Times New Roman" w:hAnsi="Times New Roman" w:cs="Times New Roman"/>
          <w:sz w:val="24"/>
          <w:szCs w:val="24"/>
        </w:rPr>
        <w:t xml:space="preserve">and clean-up) </w:t>
      </w:r>
      <w:r w:rsidRPr="00391D05">
        <w:rPr>
          <w:rFonts w:ascii="Times New Roman" w:hAnsi="Times New Roman" w:cs="Times New Roman"/>
          <w:sz w:val="24"/>
          <w:szCs w:val="24"/>
        </w:rPr>
        <w:t xml:space="preserve">either without </w:t>
      </w:r>
      <w:r w:rsidR="00FF4472">
        <w:rPr>
          <w:rFonts w:ascii="Times New Roman" w:hAnsi="Times New Roman" w:cs="Times New Roman"/>
          <w:sz w:val="24"/>
          <w:szCs w:val="24"/>
        </w:rPr>
        <w:t xml:space="preserve">a correction using </w:t>
      </w:r>
      <w:r w:rsidRPr="00391D05">
        <w:rPr>
          <w:rFonts w:ascii="Times New Roman" w:hAnsi="Times New Roman" w:cs="Times New Roman"/>
          <w:sz w:val="24"/>
          <w:szCs w:val="24"/>
        </w:rPr>
        <w:t xml:space="preserve">an (internal) standard (absolute matrix effect) or with </w:t>
      </w:r>
      <w:r w:rsidR="00FF4472">
        <w:rPr>
          <w:rFonts w:ascii="Times New Roman" w:hAnsi="Times New Roman" w:cs="Times New Roman"/>
          <w:sz w:val="24"/>
          <w:szCs w:val="24"/>
        </w:rPr>
        <w:t xml:space="preserve">correction using </w:t>
      </w:r>
      <w:r w:rsidRPr="00391D05">
        <w:rPr>
          <w:rFonts w:ascii="Times New Roman" w:hAnsi="Times New Roman" w:cs="Times New Roman"/>
          <w:sz w:val="24"/>
          <w:szCs w:val="24"/>
        </w:rPr>
        <w:t>an internal standard (relative matrix effect).</w:t>
      </w:r>
    </w:p>
    <w:p w14:paraId="50A7E10E"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Matrix-matched standards: a blank (analyte-free) matrix to which following solvent extraction</w:t>
      </w:r>
      <w:r w:rsidR="00FF4472">
        <w:rPr>
          <w:rFonts w:ascii="Times New Roman" w:hAnsi="Times New Roman" w:cs="Times New Roman"/>
          <w:sz w:val="24"/>
          <w:szCs w:val="24"/>
        </w:rPr>
        <w:t xml:space="preserve"> and sample processing</w:t>
      </w:r>
      <w:r w:rsidRPr="00391D05">
        <w:rPr>
          <w:rFonts w:ascii="Times New Roman" w:hAnsi="Times New Roman" w:cs="Times New Roman"/>
          <w:sz w:val="24"/>
          <w:szCs w:val="24"/>
        </w:rPr>
        <w:t xml:space="preserve">, the analyte is added at a range of concentrations after sampling processing. </w:t>
      </w:r>
    </w:p>
    <w:p w14:paraId="5371C654" w14:textId="1A0F66A5" w:rsidR="00FF4472"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Matrix-fortified (spiked) standard a blank (analyte-free) matrix</w:t>
      </w:r>
      <w:r w:rsidR="009055C5">
        <w:rPr>
          <w:rFonts w:ascii="Times New Roman" w:hAnsi="Times New Roman" w:cs="Times New Roman"/>
          <w:sz w:val="24"/>
          <w:szCs w:val="24"/>
        </w:rPr>
        <w:t>,</w:t>
      </w:r>
      <w:r w:rsidRPr="00391D05">
        <w:rPr>
          <w:rFonts w:ascii="Times New Roman" w:hAnsi="Times New Roman" w:cs="Times New Roman"/>
          <w:sz w:val="24"/>
          <w:szCs w:val="24"/>
        </w:rPr>
        <w:t xml:space="preserve"> which prior to solvent extraction and sample processing, is spiked with the analyte at a range of concentrations.</w:t>
      </w:r>
    </w:p>
    <w:p w14:paraId="780A5443"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 xml:space="preserve">Measurement of uncertainty means a parameter associated with the result of measurement, which characterises the dispersion </w:t>
      </w:r>
      <w:r w:rsidR="00FF4472">
        <w:rPr>
          <w:rFonts w:ascii="Times New Roman" w:hAnsi="Times New Roman" w:cs="Times New Roman"/>
          <w:sz w:val="24"/>
          <w:szCs w:val="24"/>
        </w:rPr>
        <w:t xml:space="preserve">of </w:t>
      </w:r>
      <w:r w:rsidRPr="00391D05">
        <w:rPr>
          <w:rFonts w:ascii="Times New Roman" w:hAnsi="Times New Roman" w:cs="Times New Roman"/>
          <w:sz w:val="24"/>
          <w:szCs w:val="24"/>
        </w:rPr>
        <w:t>values that could reasonably be attributed to the measurand.</w:t>
      </w:r>
    </w:p>
    <w:p w14:paraId="3F4F7FDB"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Performance criteria means requirements for a performance characteristic according to which it can be judged that the analytical method is fit for the purpose and generates reliable results.</w:t>
      </w:r>
    </w:p>
    <w:p w14:paraId="67E8D597"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 xml:space="preserve">Precision means the closeness of agreement between independent test results obtained under stipulated (predetermined) conditions. It is usually expressed in terms of imprecision and computed as </w:t>
      </w:r>
      <w:r w:rsidR="00FF4472">
        <w:rPr>
          <w:rFonts w:ascii="Times New Roman" w:hAnsi="Times New Roman" w:cs="Times New Roman"/>
          <w:sz w:val="24"/>
          <w:szCs w:val="24"/>
        </w:rPr>
        <w:t xml:space="preserve">relative </w:t>
      </w:r>
      <w:r w:rsidRPr="00391D05">
        <w:rPr>
          <w:rFonts w:ascii="Times New Roman" w:hAnsi="Times New Roman" w:cs="Times New Roman"/>
          <w:sz w:val="24"/>
          <w:szCs w:val="24"/>
        </w:rPr>
        <w:t xml:space="preserve">standard deviation of the test result. Less precision is determined by a larger standard </w:t>
      </w:r>
      <w:r w:rsidR="00913C5A" w:rsidRPr="00391D05">
        <w:rPr>
          <w:rFonts w:ascii="Times New Roman" w:hAnsi="Times New Roman" w:cs="Times New Roman"/>
          <w:sz w:val="24"/>
          <w:szCs w:val="24"/>
        </w:rPr>
        <w:t>deviation</w:t>
      </w:r>
      <w:r w:rsidR="000F1B44" w:rsidRPr="000F1B44">
        <w:rPr>
          <w:rFonts w:ascii="Times New Roman" w:hAnsi="Times New Roman" w:cs="Times New Roman"/>
          <w:sz w:val="24"/>
          <w:szCs w:val="24"/>
          <w:vertAlign w:val="superscript"/>
        </w:rPr>
        <w:fldChar w:fldCharType="begin"/>
      </w:r>
      <w:r w:rsidR="000F1B44" w:rsidRPr="000F1B44">
        <w:rPr>
          <w:rFonts w:ascii="Times New Roman" w:hAnsi="Times New Roman" w:cs="Times New Roman"/>
          <w:sz w:val="24"/>
          <w:szCs w:val="24"/>
          <w:vertAlign w:val="superscript"/>
        </w:rPr>
        <w:instrText xml:space="preserve"> NOTEREF _Ref6927744 \h  \* MERGEFORMAT </w:instrText>
      </w:r>
      <w:r w:rsidR="000F1B44" w:rsidRPr="000F1B44">
        <w:rPr>
          <w:rFonts w:ascii="Times New Roman" w:hAnsi="Times New Roman" w:cs="Times New Roman"/>
          <w:sz w:val="24"/>
          <w:szCs w:val="24"/>
          <w:vertAlign w:val="superscript"/>
        </w:rPr>
      </w:r>
      <w:r w:rsidR="000F1B44" w:rsidRPr="000F1B44">
        <w:rPr>
          <w:rFonts w:ascii="Times New Roman" w:hAnsi="Times New Roman" w:cs="Times New Roman"/>
          <w:sz w:val="24"/>
          <w:szCs w:val="24"/>
          <w:vertAlign w:val="superscript"/>
        </w:rPr>
        <w:fldChar w:fldCharType="separate"/>
      </w:r>
      <w:r w:rsidR="00D029DD">
        <w:rPr>
          <w:rFonts w:ascii="Times New Roman" w:hAnsi="Times New Roman" w:cs="Times New Roman"/>
          <w:sz w:val="24"/>
          <w:szCs w:val="24"/>
          <w:vertAlign w:val="superscript"/>
        </w:rPr>
        <w:t>6</w:t>
      </w:r>
      <w:r w:rsidR="000F1B44" w:rsidRPr="000F1B44">
        <w:rPr>
          <w:rFonts w:ascii="Times New Roman" w:hAnsi="Times New Roman" w:cs="Times New Roman"/>
          <w:sz w:val="24"/>
          <w:szCs w:val="24"/>
          <w:vertAlign w:val="superscript"/>
        </w:rPr>
        <w:fldChar w:fldCharType="end"/>
      </w:r>
      <w:r w:rsidRPr="00391D05">
        <w:rPr>
          <w:rFonts w:ascii="Times New Roman" w:hAnsi="Times New Roman" w:cs="Times New Roman"/>
          <w:sz w:val="24"/>
          <w:szCs w:val="24"/>
        </w:rPr>
        <w:t>.</w:t>
      </w:r>
    </w:p>
    <w:p w14:paraId="6A56E44F" w14:textId="60DAD6D9"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Qualitative method means an analytical method</w:t>
      </w:r>
      <w:r w:rsidR="009055C5">
        <w:rPr>
          <w:rFonts w:ascii="Times New Roman" w:hAnsi="Times New Roman" w:cs="Times New Roman"/>
          <w:sz w:val="24"/>
          <w:szCs w:val="24"/>
        </w:rPr>
        <w:t>,</w:t>
      </w:r>
      <w:r w:rsidRPr="00391D05">
        <w:rPr>
          <w:rFonts w:ascii="Times New Roman" w:hAnsi="Times New Roman" w:cs="Times New Roman"/>
          <w:sz w:val="24"/>
          <w:szCs w:val="24"/>
        </w:rPr>
        <w:t xml:space="preserve"> which </w:t>
      </w:r>
      <w:r w:rsidR="00FF4472">
        <w:rPr>
          <w:rFonts w:ascii="Times New Roman" w:hAnsi="Times New Roman" w:cs="Times New Roman"/>
          <w:sz w:val="24"/>
          <w:szCs w:val="24"/>
        </w:rPr>
        <w:t xml:space="preserve">detects or </w:t>
      </w:r>
      <w:r w:rsidRPr="00391D05">
        <w:rPr>
          <w:rFonts w:ascii="Times New Roman" w:hAnsi="Times New Roman" w:cs="Times New Roman"/>
          <w:sz w:val="24"/>
          <w:szCs w:val="24"/>
        </w:rPr>
        <w:t xml:space="preserve">identifies a substance </w:t>
      </w:r>
      <w:r w:rsidR="00144B56">
        <w:rPr>
          <w:rFonts w:ascii="Times New Roman" w:hAnsi="Times New Roman" w:cs="Times New Roman"/>
          <w:sz w:val="24"/>
          <w:szCs w:val="24"/>
        </w:rPr>
        <w:t xml:space="preserve">or a group of substances </w:t>
      </w:r>
      <w:r w:rsidRPr="00391D05">
        <w:rPr>
          <w:rFonts w:ascii="Times New Roman" w:hAnsi="Times New Roman" w:cs="Times New Roman"/>
          <w:sz w:val="24"/>
          <w:szCs w:val="24"/>
        </w:rPr>
        <w:t>on the basis of its chemical, biological or physical properties.</w:t>
      </w:r>
    </w:p>
    <w:p w14:paraId="22819E77" w14:textId="0D0E25C0"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Quantitative method means an analytical method</w:t>
      </w:r>
      <w:r w:rsidR="009055C5">
        <w:rPr>
          <w:rFonts w:ascii="Times New Roman" w:hAnsi="Times New Roman" w:cs="Times New Roman"/>
          <w:sz w:val="24"/>
          <w:szCs w:val="24"/>
        </w:rPr>
        <w:t>,</w:t>
      </w:r>
      <w:r w:rsidRPr="00391D05">
        <w:rPr>
          <w:rFonts w:ascii="Times New Roman" w:hAnsi="Times New Roman" w:cs="Times New Roman"/>
          <w:sz w:val="24"/>
          <w:szCs w:val="24"/>
        </w:rPr>
        <w:t xml:space="preserve"> which determines the amount or mass fraction of a substance so that it may be expressed as a numerical value of appropriate units.</w:t>
      </w:r>
    </w:p>
    <w:p w14:paraId="61A9070E" w14:textId="03301836"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Absolute recovery means the proportion of the analyte remaining at the point of the final determination, following its addition (usually to a blank sample) immediately prior to extraction, expressed as a percentage.</w:t>
      </w:r>
    </w:p>
    <w:p w14:paraId="2C809D65"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Reference material means a material for which one or more properties have been confirmed by a validated method, so that it can be used to calibrate an apparatus or to verify a method of measurement.</w:t>
      </w:r>
    </w:p>
    <w:p w14:paraId="5D230874"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lastRenderedPageBreak/>
        <w:t>Repeatability means precision</w:t>
      </w:r>
      <w:r w:rsidR="00913C5A" w:rsidRPr="00391D05">
        <w:rPr>
          <w:rFonts w:ascii="Times New Roman" w:hAnsi="Times New Roman" w:cs="Times New Roman"/>
          <w:sz w:val="24"/>
          <w:szCs w:val="24"/>
        </w:rPr>
        <w:t xml:space="preserve"> under repeatability conditions</w:t>
      </w:r>
      <w:r w:rsidR="000F1B44" w:rsidRPr="000F1B44">
        <w:rPr>
          <w:rFonts w:ascii="Times New Roman" w:hAnsi="Times New Roman" w:cs="Times New Roman"/>
          <w:sz w:val="24"/>
          <w:szCs w:val="24"/>
          <w:vertAlign w:val="superscript"/>
        </w:rPr>
        <w:fldChar w:fldCharType="begin"/>
      </w:r>
      <w:r w:rsidR="000F1B44" w:rsidRPr="000F1B44">
        <w:rPr>
          <w:rFonts w:ascii="Times New Roman" w:hAnsi="Times New Roman" w:cs="Times New Roman"/>
          <w:sz w:val="24"/>
          <w:szCs w:val="24"/>
          <w:vertAlign w:val="superscript"/>
        </w:rPr>
        <w:instrText xml:space="preserve"> NOTEREF _Ref6927744 \h  \* MERGEFORMAT </w:instrText>
      </w:r>
      <w:r w:rsidR="000F1B44" w:rsidRPr="000F1B44">
        <w:rPr>
          <w:rFonts w:ascii="Times New Roman" w:hAnsi="Times New Roman" w:cs="Times New Roman"/>
          <w:sz w:val="24"/>
          <w:szCs w:val="24"/>
          <w:vertAlign w:val="superscript"/>
        </w:rPr>
      </w:r>
      <w:r w:rsidR="000F1B44" w:rsidRPr="000F1B44">
        <w:rPr>
          <w:rFonts w:ascii="Times New Roman" w:hAnsi="Times New Roman" w:cs="Times New Roman"/>
          <w:sz w:val="24"/>
          <w:szCs w:val="24"/>
          <w:vertAlign w:val="superscript"/>
        </w:rPr>
        <w:fldChar w:fldCharType="separate"/>
      </w:r>
      <w:r w:rsidR="00D029DD">
        <w:rPr>
          <w:rFonts w:ascii="Times New Roman" w:hAnsi="Times New Roman" w:cs="Times New Roman"/>
          <w:sz w:val="24"/>
          <w:szCs w:val="24"/>
          <w:vertAlign w:val="superscript"/>
        </w:rPr>
        <w:t>6</w:t>
      </w:r>
      <w:r w:rsidR="000F1B44" w:rsidRPr="000F1B44">
        <w:rPr>
          <w:rFonts w:ascii="Times New Roman" w:hAnsi="Times New Roman" w:cs="Times New Roman"/>
          <w:sz w:val="24"/>
          <w:szCs w:val="24"/>
          <w:vertAlign w:val="superscript"/>
        </w:rPr>
        <w:fldChar w:fldCharType="end"/>
      </w:r>
      <w:r w:rsidR="00E02C32" w:rsidRPr="00391D05">
        <w:rPr>
          <w:rFonts w:ascii="Times New Roman" w:hAnsi="Times New Roman" w:cs="Times New Roman"/>
          <w:sz w:val="24"/>
          <w:szCs w:val="24"/>
        </w:rPr>
        <w:t>.</w:t>
      </w:r>
    </w:p>
    <w:p w14:paraId="24081F09" w14:textId="0E26558B"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Repeatability conditions means conditions where independent test results are obtained with the same method on identical test items in the same laboratory by the same opera</w:t>
      </w:r>
      <w:r w:rsidR="00913C5A" w:rsidRPr="00391D05">
        <w:rPr>
          <w:rFonts w:ascii="Times New Roman" w:hAnsi="Times New Roman" w:cs="Times New Roman"/>
          <w:sz w:val="24"/>
          <w:szCs w:val="24"/>
        </w:rPr>
        <w:t>tor using the same equipment</w:t>
      </w:r>
      <w:r w:rsidR="00FF4472">
        <w:rPr>
          <w:rFonts w:ascii="Times New Roman" w:hAnsi="Times New Roman" w:cs="Times New Roman"/>
          <w:sz w:val="24"/>
          <w:szCs w:val="24"/>
        </w:rPr>
        <w:t xml:space="preserve"> at the same day</w:t>
      </w:r>
      <w:r w:rsidR="000F1B44" w:rsidRPr="000F1B44">
        <w:rPr>
          <w:rFonts w:ascii="Times New Roman" w:hAnsi="Times New Roman" w:cs="Times New Roman"/>
          <w:sz w:val="24"/>
          <w:szCs w:val="24"/>
          <w:vertAlign w:val="superscript"/>
        </w:rPr>
        <w:fldChar w:fldCharType="begin"/>
      </w:r>
      <w:r w:rsidR="000F1B44" w:rsidRPr="000F1B44">
        <w:rPr>
          <w:rFonts w:ascii="Times New Roman" w:hAnsi="Times New Roman" w:cs="Times New Roman"/>
          <w:sz w:val="24"/>
          <w:szCs w:val="24"/>
          <w:vertAlign w:val="superscript"/>
        </w:rPr>
        <w:instrText xml:space="preserve"> NOTEREF _Ref6927744 \h  \* MERGEFORMAT </w:instrText>
      </w:r>
      <w:r w:rsidR="000F1B44" w:rsidRPr="000F1B44">
        <w:rPr>
          <w:rFonts w:ascii="Times New Roman" w:hAnsi="Times New Roman" w:cs="Times New Roman"/>
          <w:sz w:val="24"/>
          <w:szCs w:val="24"/>
          <w:vertAlign w:val="superscript"/>
        </w:rPr>
      </w:r>
      <w:r w:rsidR="000F1B44" w:rsidRPr="000F1B44">
        <w:rPr>
          <w:rFonts w:ascii="Times New Roman" w:hAnsi="Times New Roman" w:cs="Times New Roman"/>
          <w:sz w:val="24"/>
          <w:szCs w:val="24"/>
          <w:vertAlign w:val="superscript"/>
        </w:rPr>
        <w:fldChar w:fldCharType="separate"/>
      </w:r>
      <w:r w:rsidR="00D029DD">
        <w:rPr>
          <w:rFonts w:ascii="Times New Roman" w:hAnsi="Times New Roman" w:cs="Times New Roman"/>
          <w:sz w:val="24"/>
          <w:szCs w:val="24"/>
          <w:vertAlign w:val="superscript"/>
        </w:rPr>
        <w:t>6</w:t>
      </w:r>
      <w:r w:rsidR="000F1B44" w:rsidRPr="000F1B44">
        <w:rPr>
          <w:rFonts w:ascii="Times New Roman" w:hAnsi="Times New Roman" w:cs="Times New Roman"/>
          <w:sz w:val="24"/>
          <w:szCs w:val="24"/>
          <w:vertAlign w:val="superscript"/>
        </w:rPr>
        <w:fldChar w:fldCharType="end"/>
      </w:r>
      <w:r w:rsidRPr="00391D05">
        <w:rPr>
          <w:rFonts w:ascii="Times New Roman" w:hAnsi="Times New Roman" w:cs="Times New Roman"/>
          <w:sz w:val="24"/>
          <w:szCs w:val="24"/>
        </w:rPr>
        <w:t>.</w:t>
      </w:r>
    </w:p>
    <w:p w14:paraId="669B6E64"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Reproducibility means precision unde</w:t>
      </w:r>
      <w:r w:rsidR="000F1B44">
        <w:rPr>
          <w:rFonts w:ascii="Times New Roman" w:hAnsi="Times New Roman" w:cs="Times New Roman"/>
          <w:sz w:val="24"/>
          <w:szCs w:val="24"/>
        </w:rPr>
        <w:t>r reproducibility conditions</w:t>
      </w:r>
      <w:r w:rsidR="000F1B44" w:rsidRPr="000F1B44">
        <w:rPr>
          <w:rFonts w:ascii="Times New Roman" w:hAnsi="Times New Roman" w:cs="Times New Roman"/>
          <w:sz w:val="24"/>
          <w:szCs w:val="24"/>
          <w:vertAlign w:val="superscript"/>
        </w:rPr>
        <w:fldChar w:fldCharType="begin"/>
      </w:r>
      <w:r w:rsidR="000F1B44" w:rsidRPr="000F1B44">
        <w:rPr>
          <w:rFonts w:ascii="Times New Roman" w:hAnsi="Times New Roman" w:cs="Times New Roman"/>
          <w:sz w:val="24"/>
          <w:szCs w:val="24"/>
          <w:vertAlign w:val="superscript"/>
        </w:rPr>
        <w:instrText xml:space="preserve"> NOTEREF _Ref6927744 \h </w:instrText>
      </w:r>
      <w:r w:rsidR="000F1B44">
        <w:rPr>
          <w:rFonts w:ascii="Times New Roman" w:hAnsi="Times New Roman" w:cs="Times New Roman"/>
          <w:sz w:val="24"/>
          <w:szCs w:val="24"/>
          <w:vertAlign w:val="superscript"/>
        </w:rPr>
        <w:instrText xml:space="preserve"> \* MERGEFORMAT </w:instrText>
      </w:r>
      <w:r w:rsidR="000F1B44" w:rsidRPr="000F1B44">
        <w:rPr>
          <w:rFonts w:ascii="Times New Roman" w:hAnsi="Times New Roman" w:cs="Times New Roman"/>
          <w:sz w:val="24"/>
          <w:szCs w:val="24"/>
          <w:vertAlign w:val="superscript"/>
        </w:rPr>
      </w:r>
      <w:r w:rsidR="000F1B44" w:rsidRPr="000F1B44">
        <w:rPr>
          <w:rFonts w:ascii="Times New Roman" w:hAnsi="Times New Roman" w:cs="Times New Roman"/>
          <w:sz w:val="24"/>
          <w:szCs w:val="24"/>
          <w:vertAlign w:val="superscript"/>
        </w:rPr>
        <w:fldChar w:fldCharType="separate"/>
      </w:r>
      <w:r w:rsidR="00D029DD">
        <w:rPr>
          <w:rFonts w:ascii="Times New Roman" w:hAnsi="Times New Roman" w:cs="Times New Roman"/>
          <w:sz w:val="24"/>
          <w:szCs w:val="24"/>
          <w:vertAlign w:val="superscript"/>
        </w:rPr>
        <w:t>6</w:t>
      </w:r>
      <w:r w:rsidR="000F1B44" w:rsidRPr="000F1B44">
        <w:rPr>
          <w:rFonts w:ascii="Times New Roman" w:hAnsi="Times New Roman" w:cs="Times New Roman"/>
          <w:sz w:val="24"/>
          <w:szCs w:val="24"/>
          <w:vertAlign w:val="superscript"/>
        </w:rPr>
        <w:fldChar w:fldCharType="end"/>
      </w:r>
    </w:p>
    <w:p w14:paraId="73E6CF29" w14:textId="595CAC09"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Reproducibility conditions means conditions</w:t>
      </w:r>
      <w:r w:rsidR="009055C5">
        <w:rPr>
          <w:rFonts w:ascii="Times New Roman" w:hAnsi="Times New Roman" w:cs="Times New Roman"/>
          <w:sz w:val="24"/>
          <w:szCs w:val="24"/>
        </w:rPr>
        <w:t>,</w:t>
      </w:r>
      <w:r w:rsidRPr="00391D05">
        <w:rPr>
          <w:rFonts w:ascii="Times New Roman" w:hAnsi="Times New Roman" w:cs="Times New Roman"/>
          <w:sz w:val="24"/>
          <w:szCs w:val="24"/>
        </w:rPr>
        <w:t xml:space="preserve"> where test results are obtained with the same method on identical test items in different laboratories with different operato</w:t>
      </w:r>
      <w:r w:rsidR="00913C5A" w:rsidRPr="00391D05">
        <w:rPr>
          <w:rFonts w:ascii="Times New Roman" w:hAnsi="Times New Roman" w:cs="Times New Roman"/>
          <w:sz w:val="24"/>
          <w:szCs w:val="24"/>
        </w:rPr>
        <w:t>rs using different equipment</w:t>
      </w:r>
      <w:r w:rsidR="00523A8A" w:rsidRPr="00391D05">
        <w:rPr>
          <w:rFonts w:ascii="Times New Roman" w:hAnsi="Times New Roman" w:cs="Times New Roman"/>
          <w:sz w:val="24"/>
          <w:szCs w:val="24"/>
          <w:vertAlign w:val="superscript"/>
        </w:rPr>
        <w:t xml:space="preserve"> </w:t>
      </w:r>
      <w:r w:rsidR="000F1B44">
        <w:rPr>
          <w:rFonts w:ascii="Times New Roman" w:hAnsi="Times New Roman" w:cs="Times New Roman"/>
          <w:sz w:val="24"/>
          <w:szCs w:val="24"/>
          <w:vertAlign w:val="superscript"/>
        </w:rPr>
        <w:fldChar w:fldCharType="begin"/>
      </w:r>
      <w:r w:rsidR="000F1B44">
        <w:rPr>
          <w:rFonts w:ascii="Times New Roman" w:hAnsi="Times New Roman" w:cs="Times New Roman"/>
          <w:sz w:val="24"/>
          <w:szCs w:val="24"/>
          <w:vertAlign w:val="superscript"/>
        </w:rPr>
        <w:instrText xml:space="preserve"> NOTEREF _Ref6927744 \h </w:instrText>
      </w:r>
      <w:r w:rsidR="003B285A">
        <w:rPr>
          <w:rFonts w:ascii="Times New Roman" w:hAnsi="Times New Roman" w:cs="Times New Roman"/>
          <w:sz w:val="24"/>
          <w:szCs w:val="24"/>
          <w:vertAlign w:val="superscript"/>
        </w:rPr>
        <w:instrText xml:space="preserve"> \* MERGEFORMAT </w:instrText>
      </w:r>
      <w:r w:rsidR="000F1B44">
        <w:rPr>
          <w:rFonts w:ascii="Times New Roman" w:hAnsi="Times New Roman" w:cs="Times New Roman"/>
          <w:sz w:val="24"/>
          <w:szCs w:val="24"/>
          <w:vertAlign w:val="superscript"/>
        </w:rPr>
      </w:r>
      <w:r w:rsidR="000F1B44">
        <w:rPr>
          <w:rFonts w:ascii="Times New Roman" w:hAnsi="Times New Roman" w:cs="Times New Roman"/>
          <w:sz w:val="24"/>
          <w:szCs w:val="24"/>
          <w:vertAlign w:val="superscript"/>
        </w:rPr>
        <w:fldChar w:fldCharType="separate"/>
      </w:r>
      <w:r w:rsidR="00D029DD">
        <w:rPr>
          <w:rFonts w:ascii="Times New Roman" w:hAnsi="Times New Roman" w:cs="Times New Roman"/>
          <w:sz w:val="24"/>
          <w:szCs w:val="24"/>
          <w:vertAlign w:val="superscript"/>
        </w:rPr>
        <w:t>6</w:t>
      </w:r>
      <w:r w:rsidR="000F1B44">
        <w:rPr>
          <w:rFonts w:ascii="Times New Roman" w:hAnsi="Times New Roman" w:cs="Times New Roman"/>
          <w:sz w:val="24"/>
          <w:szCs w:val="24"/>
          <w:vertAlign w:val="superscript"/>
        </w:rPr>
        <w:fldChar w:fldCharType="end"/>
      </w:r>
      <w:r w:rsidR="000F1B44">
        <w:rPr>
          <w:rFonts w:ascii="Times New Roman" w:hAnsi="Times New Roman" w:cs="Times New Roman"/>
          <w:sz w:val="24"/>
          <w:szCs w:val="24"/>
        </w:rPr>
        <w:t>,</w:t>
      </w:r>
      <w:r w:rsidR="000F1B44">
        <w:rPr>
          <w:rStyle w:val="FootnoteReference"/>
          <w:rFonts w:ascii="Times New Roman" w:hAnsi="Times New Roman" w:cs="Times New Roman"/>
          <w:sz w:val="24"/>
          <w:szCs w:val="24"/>
        </w:rPr>
        <w:footnoteReference w:id="7"/>
      </w:r>
      <w:r w:rsidRPr="00391D05">
        <w:rPr>
          <w:rFonts w:ascii="Times New Roman" w:hAnsi="Times New Roman" w:cs="Times New Roman"/>
          <w:sz w:val="24"/>
          <w:szCs w:val="24"/>
          <w:vertAlign w:val="superscript"/>
        </w:rPr>
        <w:t>.</w:t>
      </w:r>
    </w:p>
    <w:p w14:paraId="20DC256A" w14:textId="16620B8F"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Ruggedness means the susceptibility of an analytical method to changes in experimental conditions which can be expressed as a list of the sample materials, analytes, storage conditions, environmental and/or sample preparation conditions under which the method can be applied as presented or with specified minor modifications. For all experimental conditions</w:t>
      </w:r>
      <w:r w:rsidR="009055C5">
        <w:rPr>
          <w:rFonts w:ascii="Times New Roman" w:hAnsi="Times New Roman" w:cs="Times New Roman"/>
          <w:sz w:val="24"/>
          <w:szCs w:val="24"/>
        </w:rPr>
        <w:t>,</w:t>
      </w:r>
      <w:r w:rsidRPr="00391D05">
        <w:rPr>
          <w:rFonts w:ascii="Times New Roman" w:hAnsi="Times New Roman" w:cs="Times New Roman"/>
          <w:sz w:val="24"/>
          <w:szCs w:val="24"/>
        </w:rPr>
        <w:t xml:space="preserve"> which could in practice be subject to fluctuation (e.g. stability of reagents, composition of the sample, pH, temperature) any variations which could affect the analytical result shall be indicated.</w:t>
      </w:r>
    </w:p>
    <w:p w14:paraId="3894185E"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 xml:space="preserve">Screening method means methods that are used to detect the presence of a substance or class of substances at or above the MRL or ML for authorised substances or at or above the RPA or the LCL for prohibited or unauthorised substances. These methods have the capability for a high sample throughput and are used to sift large numbers of samples for potential non-compliant results. They are specifically designed to avoid false compliant results. </w:t>
      </w:r>
    </w:p>
    <w:p w14:paraId="2477A538"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Single laboratory study (in-house validation) means an analytical study involving a single laboratory using one method to analyse the same or different test materials under different conditions over justified long time intervals.</w:t>
      </w:r>
    </w:p>
    <w:p w14:paraId="1D0A0B5F"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Specificity means the ability of a method to distinguish between the analyte being measured and other substances. This characteristic is predominantly a function of the measuring technique described, but can vary according to class of compound or matrix.</w:t>
      </w:r>
    </w:p>
    <w:p w14:paraId="2562ED91"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Standard addition means a procedure in which the official sample is divided in two (or more) test portions. One portion is analysed as such and known amounts of the standard analyte are added to the other test portions before analysis. The amount of the standard analyte added has to be between two and five times the estimated amount of the analyte in the sample. This procedure is designed to determine the content of an analyte in a sample, taking account of the recovery of the analytical procedure.</w:t>
      </w:r>
    </w:p>
    <w:p w14:paraId="5F40940A"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lastRenderedPageBreak/>
        <w:t>Standard analyte means an analyte of known and certified content and purity to be used as a reference in the analysis.</w:t>
      </w:r>
    </w:p>
    <w:p w14:paraId="4B7C1E98" w14:textId="5613A509"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Substance means matter of particular or definite chemical constitution</w:t>
      </w:r>
      <w:r w:rsidR="00BF43FE">
        <w:rPr>
          <w:rFonts w:ascii="Times New Roman" w:hAnsi="Times New Roman" w:cs="Times New Roman"/>
          <w:sz w:val="24"/>
          <w:szCs w:val="24"/>
        </w:rPr>
        <w:t>.</w:t>
      </w:r>
    </w:p>
    <w:p w14:paraId="73AE9AB0"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Test portion means the quantity of material drawn from the official sample on which the test or observation is carried out.</w:t>
      </w:r>
    </w:p>
    <w:p w14:paraId="0C713A3E"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Trueness means the closeness of agreement between the average value obtained from a large series of test results and an accepted reference value. Truen</w:t>
      </w:r>
      <w:r w:rsidR="000F1B44">
        <w:rPr>
          <w:rFonts w:ascii="Times New Roman" w:hAnsi="Times New Roman" w:cs="Times New Roman"/>
          <w:sz w:val="24"/>
          <w:szCs w:val="24"/>
        </w:rPr>
        <w:t>ess is usually expressed as bias</w:t>
      </w:r>
      <w:r w:rsidR="000F1B44" w:rsidRPr="000F1B44">
        <w:rPr>
          <w:rFonts w:ascii="Times New Roman" w:hAnsi="Times New Roman" w:cs="Times New Roman"/>
          <w:sz w:val="24"/>
          <w:szCs w:val="24"/>
          <w:vertAlign w:val="superscript"/>
        </w:rPr>
        <w:fldChar w:fldCharType="begin"/>
      </w:r>
      <w:r w:rsidR="000F1B44" w:rsidRPr="000F1B44">
        <w:rPr>
          <w:rFonts w:ascii="Times New Roman" w:hAnsi="Times New Roman" w:cs="Times New Roman"/>
          <w:sz w:val="24"/>
          <w:szCs w:val="24"/>
          <w:vertAlign w:val="superscript"/>
        </w:rPr>
        <w:instrText xml:space="preserve"> NOTEREF _Ref6927744 \h  \* MERGEFORMAT </w:instrText>
      </w:r>
      <w:r w:rsidR="000F1B44" w:rsidRPr="000F1B44">
        <w:rPr>
          <w:rFonts w:ascii="Times New Roman" w:hAnsi="Times New Roman" w:cs="Times New Roman"/>
          <w:sz w:val="24"/>
          <w:szCs w:val="24"/>
          <w:vertAlign w:val="superscript"/>
        </w:rPr>
      </w:r>
      <w:r w:rsidR="000F1B44" w:rsidRPr="000F1B44">
        <w:rPr>
          <w:rFonts w:ascii="Times New Roman" w:hAnsi="Times New Roman" w:cs="Times New Roman"/>
          <w:sz w:val="24"/>
          <w:szCs w:val="24"/>
          <w:vertAlign w:val="superscript"/>
        </w:rPr>
        <w:fldChar w:fldCharType="separate"/>
      </w:r>
      <w:r w:rsidR="00D029DD">
        <w:rPr>
          <w:rFonts w:ascii="Times New Roman" w:hAnsi="Times New Roman" w:cs="Times New Roman"/>
          <w:sz w:val="24"/>
          <w:szCs w:val="24"/>
          <w:vertAlign w:val="superscript"/>
        </w:rPr>
        <w:t>6</w:t>
      </w:r>
      <w:r w:rsidR="000F1B44" w:rsidRPr="000F1B44">
        <w:rPr>
          <w:rFonts w:ascii="Times New Roman" w:hAnsi="Times New Roman" w:cs="Times New Roman"/>
          <w:sz w:val="24"/>
          <w:szCs w:val="24"/>
          <w:vertAlign w:val="superscript"/>
        </w:rPr>
        <w:fldChar w:fldCharType="end"/>
      </w:r>
      <w:r w:rsidR="000F6E3B" w:rsidRPr="00391D05">
        <w:rPr>
          <w:rFonts w:ascii="Times New Roman" w:hAnsi="Times New Roman" w:cs="Times New Roman"/>
          <w:sz w:val="24"/>
          <w:szCs w:val="24"/>
        </w:rPr>
        <w:t>.</w:t>
      </w:r>
    </w:p>
    <w:p w14:paraId="6ED40A01" w14:textId="77777777"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Units means those units described in ISO 31 and Directive 71/354/EC (19)</w:t>
      </w:r>
      <w:r w:rsidR="004312C0" w:rsidRPr="00391D05">
        <w:rPr>
          <w:rFonts w:ascii="Times New Roman" w:hAnsi="Times New Roman" w:cs="Times New Roman"/>
          <w:sz w:val="24"/>
          <w:szCs w:val="24"/>
        </w:rPr>
        <w:t xml:space="preserve"> </w:t>
      </w:r>
      <w:r w:rsidR="004312C0" w:rsidRPr="00391D05">
        <w:rPr>
          <w:rStyle w:val="FootnoteReference"/>
          <w:rFonts w:ascii="Times New Roman" w:hAnsi="Times New Roman" w:cs="Times New Roman"/>
          <w:sz w:val="24"/>
          <w:szCs w:val="24"/>
        </w:rPr>
        <w:footnoteReference w:id="8"/>
      </w:r>
      <w:r w:rsidRPr="00391D05">
        <w:rPr>
          <w:rFonts w:ascii="Times New Roman" w:hAnsi="Times New Roman" w:cs="Times New Roman"/>
          <w:sz w:val="24"/>
          <w:szCs w:val="24"/>
        </w:rPr>
        <w:t>.</w:t>
      </w:r>
    </w:p>
    <w:p w14:paraId="5790AC04" w14:textId="419F40BE" w:rsidR="00457E44" w:rsidRPr="00391D05" w:rsidRDefault="00457E44"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 xml:space="preserve">Validation means the </w:t>
      </w:r>
      <w:r w:rsidR="00BF43FE">
        <w:rPr>
          <w:rFonts w:ascii="Times New Roman" w:hAnsi="Times New Roman" w:cs="Times New Roman"/>
          <w:sz w:val="24"/>
          <w:szCs w:val="24"/>
        </w:rPr>
        <w:t>demonstration</w:t>
      </w:r>
      <w:r w:rsidR="00BF43FE" w:rsidRPr="00391D05">
        <w:rPr>
          <w:rFonts w:ascii="Times New Roman" w:hAnsi="Times New Roman" w:cs="Times New Roman"/>
          <w:sz w:val="24"/>
          <w:szCs w:val="24"/>
        </w:rPr>
        <w:t xml:space="preserve"> </w:t>
      </w:r>
      <w:r w:rsidRPr="00391D05">
        <w:rPr>
          <w:rFonts w:ascii="Times New Roman" w:hAnsi="Times New Roman" w:cs="Times New Roman"/>
          <w:sz w:val="24"/>
          <w:szCs w:val="24"/>
        </w:rPr>
        <w:t xml:space="preserve">by examination and the provision of effective evidence that the particular requirements of a specific intended use are fulfilled </w:t>
      </w:r>
      <w:r w:rsidR="004312C0" w:rsidRPr="00391D05">
        <w:rPr>
          <w:rFonts w:ascii="Times New Roman" w:hAnsi="Times New Roman" w:cs="Times New Roman"/>
          <w:sz w:val="24"/>
          <w:szCs w:val="24"/>
        </w:rPr>
        <w:t xml:space="preserve"> </w:t>
      </w:r>
      <w:bookmarkStart w:id="6" w:name="_Ref6476214"/>
      <w:r w:rsidR="004312C0" w:rsidRPr="00391D05">
        <w:rPr>
          <w:rStyle w:val="FootnoteReference"/>
          <w:rFonts w:ascii="Times New Roman" w:hAnsi="Times New Roman" w:cs="Times New Roman"/>
          <w:sz w:val="24"/>
          <w:szCs w:val="24"/>
        </w:rPr>
        <w:footnoteReference w:id="9"/>
      </w:r>
      <w:bookmarkEnd w:id="6"/>
      <w:r w:rsidRPr="00391D05">
        <w:rPr>
          <w:rFonts w:ascii="Times New Roman" w:hAnsi="Times New Roman" w:cs="Times New Roman"/>
          <w:sz w:val="24"/>
          <w:szCs w:val="24"/>
        </w:rPr>
        <w:t>.</w:t>
      </w:r>
    </w:p>
    <w:p w14:paraId="76334404" w14:textId="77777777" w:rsidR="00631981" w:rsidRPr="00391D05" w:rsidRDefault="00631981" w:rsidP="003B285A">
      <w:pPr>
        <w:pStyle w:val="ListParagraph"/>
        <w:numPr>
          <w:ilvl w:val="0"/>
          <w:numId w:val="2"/>
        </w:numPr>
        <w:jc w:val="both"/>
        <w:rPr>
          <w:rFonts w:ascii="Times New Roman" w:hAnsi="Times New Roman" w:cs="Times New Roman"/>
          <w:sz w:val="24"/>
          <w:szCs w:val="24"/>
        </w:rPr>
      </w:pPr>
      <w:r w:rsidRPr="00391D05">
        <w:rPr>
          <w:rFonts w:ascii="Times New Roman" w:hAnsi="Times New Roman" w:cs="Times New Roman"/>
          <w:sz w:val="24"/>
          <w:szCs w:val="24"/>
        </w:rPr>
        <w:t>Within-laboratory reproducibility means precision obtained in the same laboratory under stipulated (predetermined) conditions (concerning e.g. method, test materials, operators, and environment) over justified long time-intervals (for example over several weeks to simulate possible changes in realistic analytical conditions).</w:t>
      </w:r>
    </w:p>
    <w:p w14:paraId="382EE4F6" w14:textId="77777777" w:rsidR="00A2048A" w:rsidRPr="00E41EF2" w:rsidRDefault="00A2048A" w:rsidP="00A2048A"/>
    <w:p w14:paraId="7A127CE4" w14:textId="77777777" w:rsidR="00140DF2" w:rsidRDefault="001261C3" w:rsidP="00140DF2">
      <w:pPr>
        <w:pStyle w:val="Titrearticle"/>
      </w:pPr>
      <w:r>
        <w:t>Article 3</w:t>
      </w:r>
    </w:p>
    <w:p w14:paraId="324E3AA1" w14:textId="77777777" w:rsidR="00221B24" w:rsidRPr="00971180" w:rsidRDefault="00221B24" w:rsidP="00221B24">
      <w:pPr>
        <w:jc w:val="center"/>
        <w:rPr>
          <w:b/>
        </w:rPr>
      </w:pPr>
      <w:r>
        <w:rPr>
          <w:b/>
        </w:rPr>
        <w:t>Methods</w:t>
      </w:r>
      <w:r w:rsidR="007201A5">
        <w:rPr>
          <w:b/>
        </w:rPr>
        <w:t xml:space="preserve"> of Analysis</w:t>
      </w:r>
    </w:p>
    <w:p w14:paraId="7E2BF971" w14:textId="77777777" w:rsidR="00221B24" w:rsidRDefault="00221B24" w:rsidP="008F0795">
      <w:pPr>
        <w:rPr>
          <w:rFonts w:eastAsia="Arial"/>
          <w:szCs w:val="24"/>
        </w:rPr>
      </w:pPr>
    </w:p>
    <w:p w14:paraId="780D64C6" w14:textId="77777777" w:rsidR="008F0795" w:rsidRPr="00F97F1F" w:rsidRDefault="008F0795" w:rsidP="008F0795">
      <w:pPr>
        <w:rPr>
          <w:szCs w:val="24"/>
        </w:rPr>
      </w:pPr>
      <w:r w:rsidRPr="00F97F1F">
        <w:rPr>
          <w:rFonts w:eastAsia="Arial"/>
          <w:szCs w:val="24"/>
        </w:rPr>
        <w:t>The Member States shall ensure that official samples taken pursuant to Regulation (EU) 2017/625</w:t>
      </w:r>
      <w:r w:rsidR="00D029DD">
        <w:rPr>
          <w:rFonts w:eastAsia="Arial"/>
          <w:szCs w:val="24"/>
          <w:vertAlign w:val="superscript"/>
        </w:rPr>
        <w:t xml:space="preserve"> </w:t>
      </w:r>
      <w:r w:rsidRPr="00F97F1F">
        <w:rPr>
          <w:rFonts w:eastAsia="Arial"/>
          <w:szCs w:val="24"/>
        </w:rPr>
        <w:t>are analysed using methods that:</w:t>
      </w:r>
    </w:p>
    <w:p w14:paraId="34E00288" w14:textId="77777777" w:rsidR="008F0795" w:rsidRPr="00F97F1F" w:rsidRDefault="008F0795" w:rsidP="008F0795">
      <w:pPr>
        <w:rPr>
          <w:szCs w:val="24"/>
        </w:rPr>
      </w:pPr>
      <w:r w:rsidRPr="00F97F1F">
        <w:rPr>
          <w:rFonts w:eastAsia="Arial"/>
          <w:szCs w:val="24"/>
        </w:rPr>
        <w:t>(a) are documented in test instructions, preferably according to ISO 78-</w:t>
      </w:r>
      <w:r w:rsidR="00A740CB">
        <w:rPr>
          <w:rFonts w:eastAsia="Arial"/>
          <w:szCs w:val="24"/>
        </w:rPr>
        <w:t xml:space="preserve">2 </w:t>
      </w:r>
      <w:r w:rsidR="004312C0" w:rsidRPr="00CE4D1A">
        <w:rPr>
          <w:rStyle w:val="FootnoteReference"/>
          <w:rFonts w:eastAsia="Arial"/>
          <w:szCs w:val="24"/>
        </w:rPr>
        <w:footnoteReference w:id="10"/>
      </w:r>
    </w:p>
    <w:p w14:paraId="10CDE5F7" w14:textId="77777777" w:rsidR="008F0795" w:rsidRPr="00F97F1F" w:rsidRDefault="008F0795" w:rsidP="008F0795">
      <w:pPr>
        <w:rPr>
          <w:szCs w:val="24"/>
        </w:rPr>
      </w:pPr>
      <w:r w:rsidRPr="00F97F1F">
        <w:rPr>
          <w:rFonts w:eastAsia="Arial"/>
          <w:szCs w:val="24"/>
        </w:rPr>
        <w:t xml:space="preserve">(b) comply </w:t>
      </w:r>
      <w:r w:rsidR="006F6653">
        <w:rPr>
          <w:rFonts w:eastAsia="Arial"/>
          <w:szCs w:val="24"/>
        </w:rPr>
        <w:t xml:space="preserve">with </w:t>
      </w:r>
      <w:r w:rsidR="006F6653">
        <w:t xml:space="preserve">performance criteria and other requirements </w:t>
      </w:r>
      <w:r w:rsidR="000F1B44">
        <w:t>f</w:t>
      </w:r>
      <w:r w:rsidR="006F6653">
        <w:t xml:space="preserve">or analytical methods laid down in Chapter 1 of Annex I to this Regulation. </w:t>
      </w:r>
    </w:p>
    <w:p w14:paraId="45FBDDF1" w14:textId="77777777" w:rsidR="008F0795" w:rsidRPr="00F97F1F" w:rsidRDefault="008F0795" w:rsidP="008F0795">
      <w:pPr>
        <w:rPr>
          <w:szCs w:val="24"/>
        </w:rPr>
      </w:pPr>
      <w:r w:rsidRPr="00F97F1F">
        <w:rPr>
          <w:rFonts w:eastAsia="Arial"/>
          <w:szCs w:val="24"/>
        </w:rPr>
        <w:t xml:space="preserve">(c) </w:t>
      </w:r>
      <w:r w:rsidR="00EA424A">
        <w:rPr>
          <w:rFonts w:eastAsia="Arial"/>
          <w:szCs w:val="24"/>
        </w:rPr>
        <w:t xml:space="preserve"> have been validated in accordance with the requirements laid down in Chapters 2 and 4 of Annex I to this Regulation. </w:t>
      </w:r>
    </w:p>
    <w:p w14:paraId="6A7E3CA4" w14:textId="77777777" w:rsidR="00971180" w:rsidRDefault="008F0795" w:rsidP="000F1B44">
      <w:pPr>
        <w:rPr>
          <w:rFonts w:eastAsia="Arial"/>
          <w:szCs w:val="24"/>
        </w:rPr>
      </w:pPr>
      <w:r w:rsidRPr="00F97F1F">
        <w:rPr>
          <w:rFonts w:eastAsia="Arial"/>
          <w:szCs w:val="24"/>
        </w:rPr>
        <w:t xml:space="preserve">(d) allow enforcements of the reference points for action, laid down in </w:t>
      </w:r>
      <w:r w:rsidRPr="000F1B44">
        <w:rPr>
          <w:rFonts w:eastAsia="Arial"/>
          <w:szCs w:val="24"/>
          <w:highlight w:val="yellow"/>
        </w:rPr>
        <w:t>Regulation (EU) 2019/XXXX</w:t>
      </w:r>
      <w:r w:rsidR="000F1B44">
        <w:rPr>
          <w:rStyle w:val="FootnoteReference"/>
          <w:rFonts w:eastAsia="Arial"/>
          <w:szCs w:val="24"/>
          <w:highlight w:val="yellow"/>
        </w:rPr>
        <w:footnoteReference w:id="11"/>
      </w:r>
      <w:r w:rsidRPr="00EA424A">
        <w:rPr>
          <w:rFonts w:eastAsia="Arial"/>
          <w:szCs w:val="24"/>
        </w:rPr>
        <w:t>.</w:t>
      </w:r>
    </w:p>
    <w:p w14:paraId="07E95478" w14:textId="77777777" w:rsidR="000F1B44" w:rsidRPr="000F1B44" w:rsidRDefault="000F1B44" w:rsidP="000F1B44">
      <w:pPr>
        <w:rPr>
          <w:rFonts w:eastAsia="Arial"/>
          <w:szCs w:val="24"/>
        </w:rPr>
      </w:pPr>
    </w:p>
    <w:p w14:paraId="1D5A40DC" w14:textId="77777777" w:rsidR="0096162C" w:rsidRDefault="001261C3" w:rsidP="0096162C">
      <w:pPr>
        <w:pStyle w:val="Titrearticle"/>
        <w:rPr>
          <w:szCs w:val="24"/>
        </w:rPr>
      </w:pPr>
      <w:r w:rsidRPr="00F97F1F">
        <w:rPr>
          <w:szCs w:val="24"/>
        </w:rPr>
        <w:lastRenderedPageBreak/>
        <w:t>Article 4</w:t>
      </w:r>
    </w:p>
    <w:p w14:paraId="2A76F36B" w14:textId="77777777" w:rsidR="00A367CD" w:rsidRPr="00F97F1F" w:rsidRDefault="00A367CD" w:rsidP="00A367CD">
      <w:pPr>
        <w:jc w:val="center"/>
        <w:rPr>
          <w:b/>
          <w:szCs w:val="24"/>
        </w:rPr>
      </w:pPr>
      <w:r w:rsidRPr="00F97F1F">
        <w:rPr>
          <w:b/>
          <w:szCs w:val="24"/>
        </w:rPr>
        <w:t>Quality Control</w:t>
      </w:r>
    </w:p>
    <w:p w14:paraId="30650BE4" w14:textId="77777777" w:rsidR="00A367CD" w:rsidRPr="00A367CD" w:rsidRDefault="00A367CD" w:rsidP="00A367CD"/>
    <w:p w14:paraId="2F85F043" w14:textId="25EEAD4F" w:rsidR="00604576" w:rsidRDefault="00604576" w:rsidP="00604576">
      <w:r>
        <w:t xml:space="preserve">The Member States shall ensure the quality of the results of the analyses carried out within the scope of the Regulation, in particular by monitoring tests and/or calibration results </w:t>
      </w:r>
      <w:r w:rsidR="00D46E9F">
        <w:t>in accordance with ISO</w:t>
      </w:r>
      <w:r w:rsidR="005D1585">
        <w:t>/IEC</w:t>
      </w:r>
      <w:r w:rsidR="00D46E9F">
        <w:t xml:space="preserve"> 17025</w:t>
      </w:r>
      <w:r w:rsidR="005D1585">
        <w:t>:2017</w:t>
      </w:r>
      <w:r w:rsidR="008E25B1" w:rsidRPr="008E25B1">
        <w:rPr>
          <w:vertAlign w:val="superscript"/>
        </w:rPr>
        <w:fldChar w:fldCharType="begin"/>
      </w:r>
      <w:r w:rsidR="008E25B1" w:rsidRPr="008E25B1">
        <w:rPr>
          <w:vertAlign w:val="superscript"/>
        </w:rPr>
        <w:instrText xml:space="preserve"> NOTEREF _Ref6476214 \h  \* MERGEFORMAT </w:instrText>
      </w:r>
      <w:r w:rsidR="008E25B1" w:rsidRPr="008E25B1">
        <w:rPr>
          <w:vertAlign w:val="superscript"/>
        </w:rPr>
      </w:r>
      <w:r w:rsidR="008E25B1" w:rsidRPr="008E25B1">
        <w:rPr>
          <w:vertAlign w:val="superscript"/>
        </w:rPr>
        <w:fldChar w:fldCharType="separate"/>
      </w:r>
      <w:r w:rsidR="00D029DD">
        <w:rPr>
          <w:vertAlign w:val="superscript"/>
        </w:rPr>
        <w:t>9</w:t>
      </w:r>
      <w:r w:rsidR="008E25B1" w:rsidRPr="008E25B1">
        <w:rPr>
          <w:vertAlign w:val="superscript"/>
        </w:rPr>
        <w:fldChar w:fldCharType="end"/>
      </w:r>
      <w:r>
        <w:t xml:space="preserve"> </w:t>
      </w:r>
      <w:r w:rsidR="00A914B4">
        <w:t xml:space="preserve">and with the requirements for </w:t>
      </w:r>
      <w:r w:rsidR="00A914B4" w:rsidRPr="00B22F52">
        <w:t>quality control during routine analysis</w:t>
      </w:r>
      <w:r w:rsidR="00A914B4">
        <w:t xml:space="preserve"> as laid down in Chapter 3 of Annex I of this Regulation.</w:t>
      </w:r>
    </w:p>
    <w:p w14:paraId="405F0A4A" w14:textId="77777777" w:rsidR="00971180" w:rsidRPr="009055C5" w:rsidRDefault="00971180" w:rsidP="00604576">
      <w:pPr>
        <w:pStyle w:val="Titrearticle"/>
        <w:jc w:val="both"/>
        <w:rPr>
          <w:i w:val="0"/>
          <w:szCs w:val="24"/>
        </w:rPr>
      </w:pPr>
    </w:p>
    <w:p w14:paraId="191A8B75" w14:textId="77777777" w:rsidR="0096162C" w:rsidRPr="009055C5" w:rsidRDefault="0096162C" w:rsidP="0096162C">
      <w:pPr>
        <w:pStyle w:val="Titrearticle"/>
        <w:rPr>
          <w:szCs w:val="24"/>
        </w:rPr>
      </w:pPr>
      <w:r w:rsidRPr="009055C5">
        <w:rPr>
          <w:szCs w:val="24"/>
        </w:rPr>
        <w:t xml:space="preserve">Article </w:t>
      </w:r>
      <w:r w:rsidR="001261C3" w:rsidRPr="009055C5">
        <w:rPr>
          <w:szCs w:val="24"/>
        </w:rPr>
        <w:t>5</w:t>
      </w:r>
    </w:p>
    <w:p w14:paraId="2A64C16D" w14:textId="77777777" w:rsidR="00507E3C" w:rsidRPr="009055C5" w:rsidRDefault="00571CE8" w:rsidP="00507E3C">
      <w:pPr>
        <w:jc w:val="center"/>
        <w:rPr>
          <w:b/>
          <w:szCs w:val="24"/>
        </w:rPr>
      </w:pPr>
      <w:r w:rsidRPr="009055C5">
        <w:rPr>
          <w:b/>
          <w:szCs w:val="24"/>
        </w:rPr>
        <w:t>Interpre</w:t>
      </w:r>
      <w:r w:rsidR="00507E3C" w:rsidRPr="009055C5">
        <w:rPr>
          <w:b/>
          <w:szCs w:val="24"/>
        </w:rPr>
        <w:t xml:space="preserve">tation of results </w:t>
      </w:r>
    </w:p>
    <w:p w14:paraId="765D35BB" w14:textId="77777777" w:rsidR="00A94D7E" w:rsidRPr="009055C5" w:rsidRDefault="00A94D7E" w:rsidP="003B285A">
      <w:pPr>
        <w:rPr>
          <w:b/>
          <w:szCs w:val="24"/>
        </w:rPr>
      </w:pPr>
    </w:p>
    <w:p w14:paraId="70E33D8B" w14:textId="77777777" w:rsidR="00C954CF" w:rsidRPr="009055C5" w:rsidRDefault="00C954CF" w:rsidP="003B285A">
      <w:pPr>
        <w:pStyle w:val="ListParagraph"/>
        <w:numPr>
          <w:ilvl w:val="0"/>
          <w:numId w:val="3"/>
        </w:numPr>
        <w:jc w:val="both"/>
        <w:rPr>
          <w:rFonts w:ascii="Times New Roman" w:eastAsia="Arial" w:hAnsi="Times New Roman" w:cs="Times New Roman"/>
          <w:sz w:val="24"/>
          <w:szCs w:val="24"/>
        </w:rPr>
      </w:pPr>
      <w:r w:rsidRPr="009055C5">
        <w:rPr>
          <w:rFonts w:ascii="Times New Roman" w:eastAsia="Arial" w:hAnsi="Times New Roman" w:cs="Times New Roman"/>
          <w:sz w:val="24"/>
          <w:szCs w:val="24"/>
        </w:rPr>
        <w:t>The result of an analysis shall be considered non-compliant if it is equal to or above the decision limit (CCα) of the confirmatory method.</w:t>
      </w:r>
    </w:p>
    <w:p w14:paraId="58BCEC04" w14:textId="66F824CF" w:rsidR="003D17AC" w:rsidRPr="009055C5" w:rsidRDefault="003D17AC" w:rsidP="003B285A">
      <w:pPr>
        <w:pStyle w:val="ListParagraph"/>
        <w:numPr>
          <w:ilvl w:val="0"/>
          <w:numId w:val="3"/>
        </w:numPr>
        <w:jc w:val="both"/>
        <w:rPr>
          <w:rFonts w:ascii="Times New Roman" w:hAnsi="Times New Roman" w:cs="Times New Roman"/>
          <w:sz w:val="24"/>
          <w:szCs w:val="24"/>
        </w:rPr>
      </w:pPr>
      <w:r w:rsidRPr="009055C5">
        <w:rPr>
          <w:rFonts w:ascii="Times New Roman" w:hAnsi="Times New Roman" w:cs="Times New Roman"/>
          <w:sz w:val="24"/>
          <w:szCs w:val="24"/>
        </w:rPr>
        <w:t xml:space="preserve">For unauthorised or prohibited substances </w:t>
      </w:r>
      <w:r w:rsidR="00FF4472" w:rsidRPr="009055C5">
        <w:rPr>
          <w:rFonts w:ascii="Times New Roman" w:hAnsi="Times New Roman" w:cs="Times New Roman"/>
          <w:sz w:val="24"/>
          <w:szCs w:val="24"/>
        </w:rPr>
        <w:t>(</w:t>
      </w:r>
      <w:r w:rsidRPr="009055C5">
        <w:rPr>
          <w:rFonts w:ascii="Times New Roman" w:hAnsi="Times New Roman" w:cs="Times New Roman"/>
          <w:sz w:val="24"/>
          <w:szCs w:val="24"/>
        </w:rPr>
        <w:t>for which no RPA has been established</w:t>
      </w:r>
      <w:r w:rsidR="00FF4472" w:rsidRPr="009055C5">
        <w:rPr>
          <w:rFonts w:ascii="Times New Roman" w:hAnsi="Times New Roman" w:cs="Times New Roman"/>
          <w:sz w:val="24"/>
          <w:szCs w:val="24"/>
        </w:rPr>
        <w:t>)</w:t>
      </w:r>
      <w:r w:rsidRPr="009055C5">
        <w:rPr>
          <w:rFonts w:ascii="Times New Roman" w:hAnsi="Times New Roman" w:cs="Times New Roman"/>
          <w:sz w:val="24"/>
          <w:szCs w:val="24"/>
        </w:rPr>
        <w:t xml:space="preserve"> or for authorised substances for which no MRL or ML has been established, the decision limit is the lowest concentration level at which it can be proven by experiment that a method is able to discriminate with a statistical certainty of 1 - α that the particular analyte is present. </w:t>
      </w:r>
    </w:p>
    <w:p w14:paraId="62B72C4B" w14:textId="3BA28D0E" w:rsidR="00C954CF" w:rsidRPr="00F97F1F" w:rsidRDefault="00C954CF" w:rsidP="003B285A">
      <w:pPr>
        <w:pStyle w:val="ListParagraph"/>
        <w:numPr>
          <w:ilvl w:val="0"/>
          <w:numId w:val="3"/>
        </w:numPr>
        <w:jc w:val="both"/>
        <w:rPr>
          <w:rFonts w:ascii="Times New Roman" w:hAnsi="Times New Roman" w:cs="Times New Roman"/>
          <w:sz w:val="24"/>
          <w:szCs w:val="24"/>
        </w:rPr>
      </w:pPr>
      <w:r w:rsidRPr="00F97F1F">
        <w:rPr>
          <w:rFonts w:ascii="Times New Roman" w:eastAsia="Arial" w:hAnsi="Times New Roman" w:cs="Times New Roman"/>
          <w:sz w:val="24"/>
          <w:szCs w:val="24"/>
        </w:rPr>
        <w:t xml:space="preserve">For authorised substances for which an MRL or ML has been established, the decision limit is the </w:t>
      </w:r>
      <w:r w:rsidRPr="00F97F1F">
        <w:rPr>
          <w:rFonts w:ascii="Times New Roman" w:eastAsia="Arial" w:hAnsi="Times New Roman" w:cs="Times New Roman"/>
          <w:color w:val="000000" w:themeColor="text1"/>
          <w:sz w:val="24"/>
          <w:szCs w:val="24"/>
        </w:rPr>
        <w:t xml:space="preserve">concentration at and above which it can be decided with a statistical certainty of 1 - α that the </w:t>
      </w:r>
      <w:r w:rsidRPr="00F97F1F">
        <w:rPr>
          <w:rFonts w:ascii="Times New Roman" w:eastAsia="Arial" w:hAnsi="Times New Roman" w:cs="Times New Roman"/>
          <w:sz w:val="24"/>
          <w:szCs w:val="24"/>
        </w:rPr>
        <w:t>MRL</w:t>
      </w:r>
      <w:r w:rsidR="00631981">
        <w:rPr>
          <w:rFonts w:ascii="Times New Roman" w:eastAsia="Arial" w:hAnsi="Times New Roman" w:cs="Times New Roman"/>
          <w:sz w:val="24"/>
          <w:szCs w:val="24"/>
        </w:rPr>
        <w:t xml:space="preserve"> or</w:t>
      </w:r>
      <w:r w:rsidRPr="00F97F1F">
        <w:rPr>
          <w:rFonts w:ascii="Times New Roman" w:eastAsia="Arial" w:hAnsi="Times New Roman" w:cs="Times New Roman"/>
          <w:sz w:val="24"/>
          <w:szCs w:val="24"/>
        </w:rPr>
        <w:t xml:space="preserve"> ML </w:t>
      </w:r>
      <w:r w:rsidRPr="00F97F1F">
        <w:rPr>
          <w:rFonts w:ascii="Times New Roman" w:eastAsia="Arial" w:hAnsi="Times New Roman" w:cs="Times New Roman"/>
          <w:color w:val="000000" w:themeColor="text1"/>
          <w:sz w:val="24"/>
          <w:szCs w:val="24"/>
        </w:rPr>
        <w:t xml:space="preserve">has been truly </w:t>
      </w:r>
      <w:r w:rsidRPr="00F97F1F">
        <w:rPr>
          <w:rFonts w:ascii="Times New Roman" w:eastAsia="Arial" w:hAnsi="Times New Roman" w:cs="Times New Roman"/>
          <w:sz w:val="24"/>
          <w:szCs w:val="24"/>
        </w:rPr>
        <w:t>exceeded.</w:t>
      </w:r>
    </w:p>
    <w:p w14:paraId="282B2718" w14:textId="7C253CF5" w:rsidR="00C954CF" w:rsidRPr="00546974" w:rsidRDefault="00C954CF" w:rsidP="003B285A">
      <w:pPr>
        <w:pStyle w:val="ListParagraph"/>
        <w:numPr>
          <w:ilvl w:val="0"/>
          <w:numId w:val="3"/>
        </w:numPr>
        <w:jc w:val="both"/>
        <w:rPr>
          <w:rFonts w:ascii="Times New Roman" w:hAnsi="Times New Roman" w:cs="Times New Roman"/>
          <w:sz w:val="24"/>
          <w:szCs w:val="24"/>
        </w:rPr>
      </w:pPr>
      <w:r w:rsidRPr="00F97F1F">
        <w:rPr>
          <w:rFonts w:ascii="Times New Roman" w:eastAsia="Arial" w:hAnsi="Times New Roman" w:cs="Times New Roman"/>
          <w:sz w:val="24"/>
          <w:szCs w:val="24"/>
        </w:rPr>
        <w:t xml:space="preserve">For prohibited or unauthorised pharmacologically active substances </w:t>
      </w:r>
      <w:r w:rsidRPr="00F97F1F">
        <w:rPr>
          <w:rFonts w:ascii="Times New Roman" w:eastAsia="Arial" w:hAnsi="Times New Roman" w:cs="Times New Roman"/>
          <w:color w:val="000000" w:themeColor="text1"/>
          <w:sz w:val="24"/>
          <w:szCs w:val="24"/>
        </w:rPr>
        <w:t>the α error shall be 1 % or lower. For all other substances, the α error shall be 5 % or lower.</w:t>
      </w:r>
    </w:p>
    <w:p w14:paraId="7BF0216E" w14:textId="77777777" w:rsidR="003B285A" w:rsidRDefault="003B285A" w:rsidP="00A80201">
      <w:pPr>
        <w:pStyle w:val="Titrearticle"/>
      </w:pPr>
    </w:p>
    <w:p w14:paraId="1A878223" w14:textId="5CAD35A7" w:rsidR="00140DF2" w:rsidRDefault="00140DF2" w:rsidP="00A80201">
      <w:pPr>
        <w:pStyle w:val="Titrearticle"/>
      </w:pPr>
      <w:r w:rsidRPr="00A80201">
        <w:t xml:space="preserve">Article </w:t>
      </w:r>
      <w:r w:rsidR="00420C44" w:rsidRPr="00A80201">
        <w:t>6</w:t>
      </w:r>
    </w:p>
    <w:p w14:paraId="5B9837F4" w14:textId="77777777" w:rsidR="00BC2CAB" w:rsidRDefault="00BC2CAB" w:rsidP="00BC2CAB">
      <w:pPr>
        <w:jc w:val="center"/>
        <w:rPr>
          <w:b/>
        </w:rPr>
      </w:pPr>
      <w:r w:rsidRPr="00BC2CAB">
        <w:rPr>
          <w:b/>
        </w:rPr>
        <w:t>Methods for sampling</w:t>
      </w:r>
    </w:p>
    <w:p w14:paraId="79A7712A" w14:textId="77777777" w:rsidR="00BC2CAB" w:rsidRPr="00BC2CAB" w:rsidRDefault="00BC2CAB" w:rsidP="00BC2CAB">
      <w:pPr>
        <w:jc w:val="center"/>
        <w:rPr>
          <w:b/>
        </w:rPr>
      </w:pPr>
    </w:p>
    <w:p w14:paraId="27AD5D2F" w14:textId="0181E8BA" w:rsidR="00BC2CAB" w:rsidRDefault="00BC2CAB" w:rsidP="00BC2CAB">
      <w:r w:rsidRPr="00C12656">
        <w:t>The detail</w:t>
      </w:r>
      <w:r>
        <w:t>ed rules for official sampling</w:t>
      </w:r>
      <w:r w:rsidRPr="00C12656">
        <w:t xml:space="preserve">, </w:t>
      </w:r>
      <w:r>
        <w:t xml:space="preserve">as laid down in </w:t>
      </w:r>
      <w:r w:rsidRPr="00C12656">
        <w:t xml:space="preserve">Annex </w:t>
      </w:r>
      <w:r>
        <w:t>II to this Regulation, shall be complied with</w:t>
      </w:r>
      <w:r w:rsidRPr="00C12656">
        <w:t>.</w:t>
      </w:r>
    </w:p>
    <w:p w14:paraId="40DC908B" w14:textId="77777777" w:rsidR="00BC2CAB" w:rsidRPr="00BC2CAB" w:rsidRDefault="00BC2CAB" w:rsidP="00BC2CAB"/>
    <w:p w14:paraId="68A1EE60" w14:textId="77777777" w:rsidR="00243305" w:rsidRPr="00243305" w:rsidRDefault="00243305" w:rsidP="00A80201">
      <w:pPr>
        <w:jc w:val="center"/>
        <w:rPr>
          <w:i/>
        </w:rPr>
      </w:pPr>
      <w:r w:rsidRPr="00243305">
        <w:rPr>
          <w:i/>
        </w:rPr>
        <w:lastRenderedPageBreak/>
        <w:t xml:space="preserve">Article 7 </w:t>
      </w:r>
    </w:p>
    <w:p w14:paraId="2742B676" w14:textId="77777777" w:rsidR="00886129" w:rsidRPr="00A80201" w:rsidRDefault="00886129" w:rsidP="00A80201">
      <w:pPr>
        <w:jc w:val="center"/>
        <w:rPr>
          <w:b/>
        </w:rPr>
      </w:pPr>
      <w:r w:rsidRPr="00A80201">
        <w:rPr>
          <w:b/>
        </w:rPr>
        <w:t>Repeal</w:t>
      </w:r>
    </w:p>
    <w:p w14:paraId="455EA1B0" w14:textId="77777777" w:rsidR="00886129" w:rsidRDefault="00886129" w:rsidP="00886129">
      <w:r>
        <w:t xml:space="preserve">Decisions </w:t>
      </w:r>
      <w:r w:rsidR="00474A7E">
        <w:t>2002/657</w:t>
      </w:r>
      <w:r w:rsidR="00B814C2">
        <w:t>/EC</w:t>
      </w:r>
      <w:r w:rsidR="00B814C2" w:rsidRPr="00B814C2">
        <w:rPr>
          <w:vertAlign w:val="superscript"/>
        </w:rPr>
        <w:fldChar w:fldCharType="begin"/>
      </w:r>
      <w:r w:rsidR="00B814C2" w:rsidRPr="00B814C2">
        <w:rPr>
          <w:vertAlign w:val="superscript"/>
        </w:rPr>
        <w:instrText xml:space="preserve"> NOTEREF _Ref6583574 \h  \* MERGEFORMAT </w:instrText>
      </w:r>
      <w:r w:rsidR="00B814C2" w:rsidRPr="00B814C2">
        <w:rPr>
          <w:vertAlign w:val="superscript"/>
        </w:rPr>
      </w:r>
      <w:r w:rsidR="00B814C2" w:rsidRPr="00B814C2">
        <w:rPr>
          <w:vertAlign w:val="superscript"/>
        </w:rPr>
        <w:fldChar w:fldCharType="separate"/>
      </w:r>
      <w:r w:rsidR="00D029DD">
        <w:rPr>
          <w:vertAlign w:val="superscript"/>
        </w:rPr>
        <w:t>2</w:t>
      </w:r>
      <w:r w:rsidR="00B814C2" w:rsidRPr="00B814C2">
        <w:rPr>
          <w:vertAlign w:val="superscript"/>
        </w:rPr>
        <w:fldChar w:fldCharType="end"/>
      </w:r>
      <w:r w:rsidR="00474A7E" w:rsidRPr="00B814C2">
        <w:rPr>
          <w:vertAlign w:val="superscript"/>
        </w:rPr>
        <w:t xml:space="preserve"> </w:t>
      </w:r>
      <w:r w:rsidR="00474A7E">
        <w:t xml:space="preserve">and </w:t>
      </w:r>
      <w:r w:rsidR="00A80201">
        <w:t>98/179</w:t>
      </w:r>
      <w:r w:rsidR="00B814C2">
        <w:t>/EC</w:t>
      </w:r>
      <w:r w:rsidR="00B814C2" w:rsidRPr="00B814C2">
        <w:rPr>
          <w:vertAlign w:val="superscript"/>
        </w:rPr>
        <w:fldChar w:fldCharType="begin"/>
      </w:r>
      <w:r w:rsidR="00B814C2" w:rsidRPr="00B814C2">
        <w:rPr>
          <w:vertAlign w:val="superscript"/>
        </w:rPr>
        <w:instrText xml:space="preserve"> NOTEREF _Ref6927137 \h </w:instrText>
      </w:r>
      <w:r w:rsidR="00B814C2">
        <w:rPr>
          <w:vertAlign w:val="superscript"/>
        </w:rPr>
        <w:instrText xml:space="preserve"> \* MERGEFORMAT </w:instrText>
      </w:r>
      <w:r w:rsidR="00B814C2" w:rsidRPr="00B814C2">
        <w:rPr>
          <w:vertAlign w:val="superscript"/>
        </w:rPr>
      </w:r>
      <w:r w:rsidR="00B814C2" w:rsidRPr="00B814C2">
        <w:rPr>
          <w:vertAlign w:val="superscript"/>
        </w:rPr>
        <w:fldChar w:fldCharType="separate"/>
      </w:r>
      <w:r w:rsidR="00D029DD">
        <w:rPr>
          <w:vertAlign w:val="superscript"/>
        </w:rPr>
        <w:t>3</w:t>
      </w:r>
      <w:r w:rsidR="00B814C2" w:rsidRPr="00B814C2">
        <w:rPr>
          <w:vertAlign w:val="superscript"/>
        </w:rPr>
        <w:fldChar w:fldCharType="end"/>
      </w:r>
      <w:r w:rsidR="00A80201">
        <w:t xml:space="preserve"> are rep</w:t>
      </w:r>
      <w:r w:rsidR="00A94D7E">
        <w:t>ealed</w:t>
      </w:r>
      <w:r w:rsidR="00A80201">
        <w:t>.</w:t>
      </w:r>
    </w:p>
    <w:p w14:paraId="5A6DA817" w14:textId="15D92247" w:rsidR="00886129" w:rsidRDefault="00886129" w:rsidP="00886129">
      <w:pPr>
        <w:rPr>
          <w:i/>
        </w:rPr>
      </w:pPr>
    </w:p>
    <w:p w14:paraId="4604ABB9" w14:textId="77777777" w:rsidR="003B285A" w:rsidRPr="00A80201" w:rsidRDefault="003B285A" w:rsidP="00886129">
      <w:pPr>
        <w:rPr>
          <w:i/>
        </w:rPr>
      </w:pPr>
    </w:p>
    <w:p w14:paraId="3BD65B50" w14:textId="77777777" w:rsidR="00886129" w:rsidRDefault="002B1245" w:rsidP="00A80201">
      <w:pPr>
        <w:jc w:val="center"/>
        <w:rPr>
          <w:i/>
        </w:rPr>
      </w:pPr>
      <w:r>
        <w:rPr>
          <w:i/>
        </w:rPr>
        <w:t>Article 8</w:t>
      </w:r>
    </w:p>
    <w:p w14:paraId="2979E78D" w14:textId="77777777" w:rsidR="00A94D7E" w:rsidRPr="00A94D7E" w:rsidRDefault="00A94D7E" w:rsidP="00A80201">
      <w:pPr>
        <w:jc w:val="center"/>
        <w:rPr>
          <w:b/>
        </w:rPr>
      </w:pPr>
      <w:r w:rsidRPr="00A94D7E">
        <w:rPr>
          <w:b/>
        </w:rPr>
        <w:t xml:space="preserve">Date of application </w:t>
      </w:r>
    </w:p>
    <w:p w14:paraId="44B4DDBF" w14:textId="77777777" w:rsidR="00BC2CAB" w:rsidRDefault="00140DF2" w:rsidP="00BC2CAB">
      <w:r w:rsidRPr="00EB7E20">
        <w:t xml:space="preserve">This Regulation shall enter into force on the twentieth day following that of its publication in the </w:t>
      </w:r>
      <w:r w:rsidRPr="00EB7E20">
        <w:rPr>
          <w:i/>
        </w:rPr>
        <w:t>Official Journal of the European Union</w:t>
      </w:r>
      <w:r w:rsidRPr="00EB7E20">
        <w:t>.</w:t>
      </w:r>
    </w:p>
    <w:p w14:paraId="69ABB3D6" w14:textId="77777777" w:rsidR="00140DF2" w:rsidRPr="00EB7E20" w:rsidRDefault="00140DF2" w:rsidP="00BC2CAB">
      <w:r w:rsidRPr="00EB7E20">
        <w:t>This Regulation shall be binding in its entirety and directly applicable in all Member States.</w:t>
      </w:r>
    </w:p>
    <w:p w14:paraId="7B1F1592" w14:textId="77777777" w:rsidR="00140DF2" w:rsidRDefault="00140DF2" w:rsidP="00140DF2">
      <w:pPr>
        <w:pStyle w:val="Applicationdirecte"/>
      </w:pPr>
    </w:p>
    <w:sectPr w:rsidR="00140DF2" w:rsidSect="00E636C6">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CE9B2" w14:textId="77777777" w:rsidR="00140DF2" w:rsidRDefault="00140DF2" w:rsidP="00140DF2">
      <w:pPr>
        <w:spacing w:before="0" w:after="0"/>
      </w:pPr>
      <w:r>
        <w:separator/>
      </w:r>
    </w:p>
  </w:endnote>
  <w:endnote w:type="continuationSeparator" w:id="0">
    <w:p w14:paraId="035506C7" w14:textId="77777777" w:rsidR="00140DF2" w:rsidRDefault="00140DF2" w:rsidP="00140D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8E081" w14:textId="77777777" w:rsidR="00EC0824" w:rsidRDefault="00EC0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BD41" w14:textId="7DB2D695" w:rsidR="00E636C6" w:rsidRPr="00D43984" w:rsidRDefault="00D43984" w:rsidP="00E636C6">
    <w:pPr>
      <w:pStyle w:val="Footer"/>
      <w:rPr>
        <w:rFonts w:ascii="Arial" w:hAnsi="Arial" w:cs="Arial"/>
        <w:b/>
        <w:sz w:val="48"/>
        <w:lang w:val="es-ES"/>
      </w:rPr>
    </w:pPr>
    <w:r w:rsidRPr="00D43984">
      <w:rPr>
        <w:rFonts w:ascii="Arial" w:hAnsi="Arial" w:cs="Arial"/>
        <w:b/>
        <w:sz w:val="48"/>
        <w:lang w:val="es-ES"/>
      </w:rPr>
      <w:t>EN</w:t>
    </w:r>
    <w:r w:rsidRPr="00D43984">
      <w:rPr>
        <w:rFonts w:ascii="Arial" w:hAnsi="Arial" w:cs="Arial"/>
        <w:b/>
        <w:sz w:val="48"/>
        <w:lang w:val="es-ES"/>
      </w:rPr>
      <w:tab/>
    </w:r>
    <w:r>
      <w:fldChar w:fldCharType="begin"/>
    </w:r>
    <w:r w:rsidRPr="00D43984">
      <w:rPr>
        <w:lang w:val="es-ES"/>
      </w:rPr>
      <w:instrText xml:space="preserve"> PAGE  \* MERGEFORMAT </w:instrText>
    </w:r>
    <w:r>
      <w:fldChar w:fldCharType="separate"/>
    </w:r>
    <w:r w:rsidR="001536BA">
      <w:rPr>
        <w:noProof/>
        <w:lang w:val="es-ES"/>
      </w:rPr>
      <w:t>2</w:t>
    </w:r>
    <w:r>
      <w:fldChar w:fldCharType="end"/>
    </w:r>
    <w:r w:rsidRPr="00D43984">
      <w:rPr>
        <w:lang w:val="es-ES"/>
      </w:rPr>
      <w:tab/>
    </w:r>
    <w:r w:rsidRPr="00D43984">
      <w:rPr>
        <w:lang w:val="es-ES"/>
      </w:rPr>
      <w:tab/>
    </w:r>
    <w:r w:rsidRPr="00D43984">
      <w:rPr>
        <w:rFonts w:ascii="Arial" w:hAnsi="Arial" w:cs="Arial"/>
        <w:b/>
        <w:sz w:val="48"/>
        <w:lang w:val="es-ES"/>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4481E" w14:textId="77777777" w:rsidR="00E636C6" w:rsidRPr="00E636C6" w:rsidRDefault="001536BA" w:rsidP="00E63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8E265" w14:textId="77777777" w:rsidR="00140DF2" w:rsidRDefault="00140DF2" w:rsidP="00140DF2">
      <w:pPr>
        <w:spacing w:before="0" w:after="0"/>
      </w:pPr>
      <w:r>
        <w:separator/>
      </w:r>
    </w:p>
  </w:footnote>
  <w:footnote w:type="continuationSeparator" w:id="0">
    <w:p w14:paraId="158F1A26" w14:textId="77777777" w:rsidR="00140DF2" w:rsidRDefault="00140DF2" w:rsidP="00140DF2">
      <w:pPr>
        <w:spacing w:before="0" w:after="0"/>
      </w:pPr>
      <w:r>
        <w:continuationSeparator/>
      </w:r>
    </w:p>
  </w:footnote>
  <w:footnote w:id="1">
    <w:p w14:paraId="23BA03E8" w14:textId="77777777" w:rsidR="0064387D" w:rsidRPr="0064387D" w:rsidRDefault="002D65A0" w:rsidP="0064387D">
      <w:pPr>
        <w:rPr>
          <w:sz w:val="18"/>
          <w:szCs w:val="18"/>
        </w:rPr>
      </w:pPr>
      <w:r w:rsidRPr="0064387D">
        <w:rPr>
          <w:rStyle w:val="FootnoteReference"/>
          <w:sz w:val="18"/>
          <w:szCs w:val="18"/>
        </w:rPr>
        <w:footnoteRef/>
      </w:r>
      <w:r w:rsidRPr="0064387D">
        <w:rPr>
          <w:sz w:val="18"/>
          <w:szCs w:val="18"/>
        </w:rPr>
        <w:t xml:space="preserve"> OJ L95, 7.4.2017, p1</w:t>
      </w:r>
      <w:r w:rsidR="00D63C98" w:rsidRPr="0064387D">
        <w:rPr>
          <w:sz w:val="18"/>
          <w:szCs w:val="18"/>
        </w:rPr>
        <w:t>.</w:t>
      </w:r>
    </w:p>
  </w:footnote>
  <w:footnote w:id="2">
    <w:p w14:paraId="32349A4C" w14:textId="77777777" w:rsidR="003A4DA6" w:rsidRPr="00B814C2" w:rsidRDefault="003A4DA6" w:rsidP="00B814C2">
      <w:pPr>
        <w:pStyle w:val="NormalWeb"/>
        <w:shd w:val="clear" w:color="auto" w:fill="FFFFFF"/>
        <w:spacing w:before="0" w:beforeAutospacing="0" w:after="75" w:afterAutospacing="0"/>
        <w:rPr>
          <w:color w:val="444444"/>
          <w:sz w:val="18"/>
          <w:szCs w:val="18"/>
        </w:rPr>
      </w:pPr>
      <w:r>
        <w:rPr>
          <w:rStyle w:val="FootnoteReference"/>
        </w:rPr>
        <w:footnoteRef/>
      </w:r>
      <w:r>
        <w:t xml:space="preserve"> </w:t>
      </w:r>
      <w:r w:rsidRPr="003A4DA6">
        <w:rPr>
          <w:color w:val="444444"/>
          <w:sz w:val="18"/>
          <w:szCs w:val="18"/>
        </w:rPr>
        <w:t>2002/657/EC: Commission Decision of 12 August 2002 implementing Council Directive 96/23/EC concerning the performance of analytical methods and the interpretation of results (Text with EEA relevance) (notified under document number C(2002) 3044)</w:t>
      </w:r>
      <w:r>
        <w:rPr>
          <w:color w:val="444444"/>
          <w:sz w:val="18"/>
          <w:szCs w:val="18"/>
        </w:rPr>
        <w:t xml:space="preserve"> (</w:t>
      </w:r>
      <w:r>
        <w:rPr>
          <w:rStyle w:val="Emphasis"/>
          <w:color w:val="444444"/>
          <w:sz w:val="18"/>
          <w:szCs w:val="18"/>
        </w:rPr>
        <w:t>OJ L 221, 17.8.2002, p. 8)</w:t>
      </w:r>
    </w:p>
  </w:footnote>
  <w:footnote w:id="3">
    <w:p w14:paraId="2710263C" w14:textId="77777777" w:rsidR="009D4B4D" w:rsidRPr="004A408E" w:rsidRDefault="009D4B4D" w:rsidP="009D4B4D">
      <w:pPr>
        <w:pStyle w:val="NormalWeb"/>
        <w:shd w:val="clear" w:color="auto" w:fill="FFFFFF"/>
        <w:spacing w:before="0" w:beforeAutospacing="0" w:after="75" w:afterAutospacing="0"/>
        <w:rPr>
          <w:sz w:val="18"/>
          <w:szCs w:val="18"/>
        </w:rPr>
      </w:pPr>
      <w:r>
        <w:rPr>
          <w:rStyle w:val="FootnoteReference"/>
        </w:rPr>
        <w:footnoteRef/>
      </w:r>
      <w:r>
        <w:t xml:space="preserve"> </w:t>
      </w:r>
      <w:r w:rsidR="00B814C2" w:rsidRPr="00B814C2">
        <w:rPr>
          <w:color w:val="444444"/>
          <w:sz w:val="18"/>
          <w:szCs w:val="18"/>
        </w:rPr>
        <w:t>98/179/EC: Commission Decision of 23 February 1998 laying down detailed rules on official sampling for the monitoring of certain substances and residues thereof in live animals and animal products (OJ L 65, 5.3.1998, p. 31).</w:t>
      </w:r>
    </w:p>
  </w:footnote>
  <w:footnote w:id="4">
    <w:p w14:paraId="3197905C" w14:textId="77777777" w:rsidR="004A408E" w:rsidRPr="004A408E" w:rsidRDefault="004A408E">
      <w:pPr>
        <w:pStyle w:val="FootnoteText"/>
      </w:pPr>
      <w:r w:rsidRPr="004A408E">
        <w:rPr>
          <w:rStyle w:val="FootnoteReference"/>
          <w:sz w:val="18"/>
          <w:szCs w:val="18"/>
        </w:rPr>
        <w:footnoteRef/>
      </w:r>
      <w:r w:rsidRPr="004A408E">
        <w:rPr>
          <w:sz w:val="18"/>
          <w:szCs w:val="18"/>
        </w:rPr>
        <w:t xml:space="preserve"> Please add reference</w:t>
      </w:r>
    </w:p>
  </w:footnote>
  <w:footnote w:id="5">
    <w:p w14:paraId="1E89D49E" w14:textId="77777777" w:rsidR="004A408E" w:rsidRPr="004A408E" w:rsidRDefault="004A408E">
      <w:pPr>
        <w:pStyle w:val="FootnoteText"/>
      </w:pPr>
      <w:r>
        <w:rPr>
          <w:rStyle w:val="FootnoteReference"/>
        </w:rPr>
        <w:footnoteRef/>
      </w:r>
      <w:r>
        <w:t xml:space="preserve"> </w:t>
      </w:r>
      <w:r w:rsidRPr="004A408E">
        <w:rPr>
          <w:sz w:val="18"/>
          <w:szCs w:val="18"/>
        </w:rPr>
        <w:t>Please add reference</w:t>
      </w:r>
    </w:p>
  </w:footnote>
  <w:footnote w:id="6">
    <w:p w14:paraId="28AE77E8" w14:textId="77777777" w:rsidR="000E0DAB" w:rsidRPr="00C25260" w:rsidRDefault="000E0DAB" w:rsidP="008447D2">
      <w:pPr>
        <w:pStyle w:val="FootnoteText"/>
        <w:rPr>
          <w:sz w:val="18"/>
          <w:szCs w:val="18"/>
          <w:lang w:val="en-IE"/>
        </w:rPr>
      </w:pPr>
      <w:r w:rsidRPr="00C25260">
        <w:rPr>
          <w:rStyle w:val="FootnoteReference"/>
          <w:sz w:val="18"/>
          <w:szCs w:val="18"/>
        </w:rPr>
        <w:footnoteRef/>
      </w:r>
      <w:r w:rsidRPr="00C25260">
        <w:rPr>
          <w:sz w:val="18"/>
          <w:szCs w:val="18"/>
        </w:rPr>
        <w:t xml:space="preserve"> ISO 3534-1: 1993 Statistical Methods for quality control — Vol. 1 vocabulary and symbols.</w:t>
      </w:r>
    </w:p>
  </w:footnote>
  <w:footnote w:id="7">
    <w:p w14:paraId="483AD633" w14:textId="60C99018" w:rsidR="000F1B44" w:rsidRPr="000F1B44" w:rsidRDefault="000F1B44">
      <w:pPr>
        <w:pStyle w:val="FootnoteText"/>
      </w:pPr>
      <w:r>
        <w:rPr>
          <w:rStyle w:val="FootnoteReference"/>
        </w:rPr>
        <w:footnoteRef/>
      </w:r>
      <w:r>
        <w:t xml:space="preserve"> ISO</w:t>
      </w:r>
      <w:r w:rsidR="005D1585">
        <w:t xml:space="preserve"> 5725-1</w:t>
      </w:r>
      <w:r>
        <w:t>:199</w:t>
      </w:r>
      <w:r w:rsidR="005D1585">
        <w:t xml:space="preserve">4: </w:t>
      </w:r>
      <w:r w:rsidR="005D1585" w:rsidRPr="005D1585">
        <w:t>Accuracy (trueness and precision) of measurement methods and results -- Part 1: General principles and definitions</w:t>
      </w:r>
    </w:p>
  </w:footnote>
  <w:footnote w:id="8">
    <w:p w14:paraId="143830FB" w14:textId="77777777" w:rsidR="004312C0" w:rsidRPr="00D36BFC" w:rsidRDefault="004312C0" w:rsidP="004312C0">
      <w:pPr>
        <w:pStyle w:val="FootnoteText"/>
        <w:rPr>
          <w:sz w:val="18"/>
          <w:szCs w:val="18"/>
        </w:rPr>
      </w:pPr>
      <w:r w:rsidRPr="00D36BFC">
        <w:rPr>
          <w:rStyle w:val="FootnoteReference"/>
          <w:sz w:val="18"/>
          <w:szCs w:val="18"/>
        </w:rPr>
        <w:footnoteRef/>
      </w:r>
      <w:r w:rsidRPr="00D36BFC">
        <w:rPr>
          <w:sz w:val="18"/>
          <w:szCs w:val="18"/>
        </w:rPr>
        <w:t xml:space="preserve"> Directive 71/354/EEC of 18 October 1971 on the approximation of the laws of the Member States relating to units of measurement, OJ L 243, 29.10.1971, p. 29).</w:t>
      </w:r>
    </w:p>
  </w:footnote>
  <w:footnote w:id="9">
    <w:p w14:paraId="4ABBC77A" w14:textId="297A2E32" w:rsidR="004312C0" w:rsidRPr="00D36BFC" w:rsidRDefault="004312C0">
      <w:pPr>
        <w:pStyle w:val="FootnoteText"/>
        <w:rPr>
          <w:sz w:val="18"/>
          <w:szCs w:val="18"/>
          <w:lang w:val="en-IE"/>
        </w:rPr>
      </w:pPr>
      <w:r w:rsidRPr="00D36BFC">
        <w:rPr>
          <w:rStyle w:val="FootnoteReference"/>
          <w:sz w:val="18"/>
          <w:szCs w:val="18"/>
        </w:rPr>
        <w:footnoteRef/>
      </w:r>
      <w:r w:rsidRPr="00D36BFC">
        <w:rPr>
          <w:sz w:val="18"/>
          <w:szCs w:val="18"/>
        </w:rPr>
        <w:t xml:space="preserve"> ISO</w:t>
      </w:r>
      <w:r w:rsidR="005D1585">
        <w:rPr>
          <w:sz w:val="18"/>
          <w:szCs w:val="18"/>
        </w:rPr>
        <w:t>/IEC</w:t>
      </w:r>
      <w:r w:rsidRPr="00D36BFC">
        <w:rPr>
          <w:sz w:val="18"/>
          <w:szCs w:val="18"/>
        </w:rPr>
        <w:t xml:space="preserve"> 17025:</w:t>
      </w:r>
      <w:r w:rsidR="005D1585">
        <w:rPr>
          <w:sz w:val="18"/>
          <w:szCs w:val="18"/>
        </w:rPr>
        <w:t xml:space="preserve">2017: </w:t>
      </w:r>
      <w:r w:rsidR="005D1585" w:rsidRPr="005D1585">
        <w:rPr>
          <w:sz w:val="18"/>
          <w:szCs w:val="18"/>
        </w:rPr>
        <w:t>General requirements for the competence of testing and calibration laboratories</w:t>
      </w:r>
    </w:p>
  </w:footnote>
  <w:footnote w:id="10">
    <w:p w14:paraId="20E0794D" w14:textId="77777777" w:rsidR="004312C0" w:rsidRPr="004312C0" w:rsidRDefault="004312C0">
      <w:pPr>
        <w:pStyle w:val="FootnoteText"/>
        <w:rPr>
          <w:lang w:val="en-IE"/>
        </w:rPr>
      </w:pPr>
      <w:r w:rsidRPr="00C25260">
        <w:rPr>
          <w:rStyle w:val="FootnoteReference"/>
          <w:sz w:val="18"/>
          <w:szCs w:val="18"/>
        </w:rPr>
        <w:footnoteRef/>
      </w:r>
      <w:r w:rsidRPr="00C25260">
        <w:rPr>
          <w:sz w:val="18"/>
          <w:szCs w:val="18"/>
        </w:rPr>
        <w:t xml:space="preserve"> </w:t>
      </w:r>
      <w:r w:rsidR="00941C11" w:rsidRPr="00C25260">
        <w:rPr>
          <w:sz w:val="18"/>
          <w:szCs w:val="18"/>
        </w:rPr>
        <w:t>ISO 78-2: 1999 Chemistry — Layouts for standards — Part 2: Methods of chemical analysis</w:t>
      </w:r>
      <w:r w:rsidR="00941C11" w:rsidRPr="00941C11">
        <w:t>.</w:t>
      </w:r>
    </w:p>
  </w:footnote>
  <w:footnote w:id="11">
    <w:p w14:paraId="5E9A3A9D" w14:textId="77777777" w:rsidR="000F1B44" w:rsidRPr="000F1B44" w:rsidRDefault="000F1B44">
      <w:pPr>
        <w:pStyle w:val="FootnoteText"/>
      </w:pPr>
      <w:r w:rsidRPr="000F1B44">
        <w:rPr>
          <w:rStyle w:val="FootnoteReference"/>
          <w:highlight w:val="yellow"/>
        </w:rPr>
        <w:footnoteRef/>
      </w:r>
      <w:r w:rsidRPr="000F1B44">
        <w:rPr>
          <w:highlight w:val="yellow"/>
        </w:rPr>
        <w:t xml:space="preserve"> Reference to be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5903" w14:textId="77777777" w:rsidR="00EC0824" w:rsidRDefault="00EC0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444C6" w14:textId="77777777" w:rsidR="00EC0824" w:rsidRPr="001C1A9D" w:rsidRDefault="00EC0824" w:rsidP="00EC0824">
    <w:pPr>
      <w:pBdr>
        <w:top w:val="single" w:sz="4" w:space="0" w:color="auto"/>
        <w:left w:val="single" w:sz="4" w:space="4" w:color="auto"/>
        <w:bottom w:val="single" w:sz="4" w:space="1" w:color="auto"/>
        <w:right w:val="single" w:sz="4" w:space="4" w:color="auto"/>
      </w:pBdr>
      <w:spacing w:before="0" w:after="240"/>
      <w:rPr>
        <w:rFonts w:eastAsia="Times New Roman"/>
        <w:i/>
        <w:sz w:val="28"/>
        <w:szCs w:val="28"/>
      </w:rPr>
    </w:pPr>
    <w:r w:rsidRPr="001C1A9D">
      <w:rPr>
        <w:rFonts w:eastAsia="Times New Roman"/>
        <w:i/>
        <w:sz w:val="28"/>
        <w:szCs w:val="28"/>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 </w:t>
    </w:r>
  </w:p>
  <w:p w14:paraId="797F2C94" w14:textId="77777777" w:rsidR="00EC0824" w:rsidRDefault="00EC0824">
    <w:pPr>
      <w:pStyle w:val="Header"/>
    </w:pPr>
  </w:p>
  <w:p w14:paraId="1EDE2301" w14:textId="77777777" w:rsidR="00EC0824" w:rsidRDefault="00EC08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958E9" w14:textId="77777777" w:rsidR="00EC0824" w:rsidRDefault="00EC0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3D"/>
    <w:multiLevelType w:val="hybridMultilevel"/>
    <w:tmpl w:val="51327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0682C"/>
    <w:multiLevelType w:val="hybridMultilevel"/>
    <w:tmpl w:val="4F88AC92"/>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2066EE4"/>
    <w:multiLevelType w:val="hybridMultilevel"/>
    <w:tmpl w:val="2D081B36"/>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6D5BBD"/>
    <w:multiLevelType w:val="hybridMultilevel"/>
    <w:tmpl w:val="784EB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40DF2"/>
    <w:rsid w:val="000030D7"/>
    <w:rsid w:val="000068B5"/>
    <w:rsid w:val="00011564"/>
    <w:rsid w:val="000150DE"/>
    <w:rsid w:val="0002039D"/>
    <w:rsid w:val="00024AD2"/>
    <w:rsid w:val="000275CE"/>
    <w:rsid w:val="00030A11"/>
    <w:rsid w:val="000401EF"/>
    <w:rsid w:val="00047EF2"/>
    <w:rsid w:val="000505A2"/>
    <w:rsid w:val="0005098C"/>
    <w:rsid w:val="00051166"/>
    <w:rsid w:val="000645EB"/>
    <w:rsid w:val="00074243"/>
    <w:rsid w:val="00081985"/>
    <w:rsid w:val="000831D1"/>
    <w:rsid w:val="000A1087"/>
    <w:rsid w:val="000A4189"/>
    <w:rsid w:val="000B008D"/>
    <w:rsid w:val="000D1A54"/>
    <w:rsid w:val="000D53C9"/>
    <w:rsid w:val="000D66C6"/>
    <w:rsid w:val="000E0DAB"/>
    <w:rsid w:val="000E7DEF"/>
    <w:rsid w:val="000F1B44"/>
    <w:rsid w:val="000F44C7"/>
    <w:rsid w:val="000F54A3"/>
    <w:rsid w:val="000F6E3B"/>
    <w:rsid w:val="000F6FFD"/>
    <w:rsid w:val="001049D5"/>
    <w:rsid w:val="00115E15"/>
    <w:rsid w:val="00116D87"/>
    <w:rsid w:val="00120A9B"/>
    <w:rsid w:val="00125029"/>
    <w:rsid w:val="001261C3"/>
    <w:rsid w:val="0014037B"/>
    <w:rsid w:val="00140DF2"/>
    <w:rsid w:val="00141D32"/>
    <w:rsid w:val="00144B56"/>
    <w:rsid w:val="00152A35"/>
    <w:rsid w:val="001536BA"/>
    <w:rsid w:val="00160A97"/>
    <w:rsid w:val="00163F97"/>
    <w:rsid w:val="00164523"/>
    <w:rsid w:val="00167870"/>
    <w:rsid w:val="0017198E"/>
    <w:rsid w:val="00185A5E"/>
    <w:rsid w:val="00190A1D"/>
    <w:rsid w:val="0019266C"/>
    <w:rsid w:val="00195BEB"/>
    <w:rsid w:val="001A1E34"/>
    <w:rsid w:val="001B7B11"/>
    <w:rsid w:val="001C47E0"/>
    <w:rsid w:val="001C4A53"/>
    <w:rsid w:val="001C570E"/>
    <w:rsid w:val="001D0C72"/>
    <w:rsid w:val="001E3D78"/>
    <w:rsid w:val="001F0008"/>
    <w:rsid w:val="001F2AA1"/>
    <w:rsid w:val="001F4291"/>
    <w:rsid w:val="00216FA6"/>
    <w:rsid w:val="00221B24"/>
    <w:rsid w:val="00222B7F"/>
    <w:rsid w:val="00226C20"/>
    <w:rsid w:val="0024249E"/>
    <w:rsid w:val="00243305"/>
    <w:rsid w:val="0024613D"/>
    <w:rsid w:val="00261277"/>
    <w:rsid w:val="002759DD"/>
    <w:rsid w:val="002821AB"/>
    <w:rsid w:val="002928F6"/>
    <w:rsid w:val="002A6C4F"/>
    <w:rsid w:val="002B1245"/>
    <w:rsid w:val="002B1AA7"/>
    <w:rsid w:val="002B1DD7"/>
    <w:rsid w:val="002B601E"/>
    <w:rsid w:val="002C24C4"/>
    <w:rsid w:val="002C2927"/>
    <w:rsid w:val="002D3B14"/>
    <w:rsid w:val="002D6474"/>
    <w:rsid w:val="002D65A0"/>
    <w:rsid w:val="002D7968"/>
    <w:rsid w:val="002E44E3"/>
    <w:rsid w:val="002E4646"/>
    <w:rsid w:val="002E5047"/>
    <w:rsid w:val="002F2D57"/>
    <w:rsid w:val="002F5898"/>
    <w:rsid w:val="00303A95"/>
    <w:rsid w:val="00303B08"/>
    <w:rsid w:val="0030441F"/>
    <w:rsid w:val="003062DA"/>
    <w:rsid w:val="00307438"/>
    <w:rsid w:val="003147D9"/>
    <w:rsid w:val="0031562B"/>
    <w:rsid w:val="0032375B"/>
    <w:rsid w:val="003319C7"/>
    <w:rsid w:val="00334F91"/>
    <w:rsid w:val="00341E5A"/>
    <w:rsid w:val="0034373C"/>
    <w:rsid w:val="00347475"/>
    <w:rsid w:val="003527E6"/>
    <w:rsid w:val="00354397"/>
    <w:rsid w:val="003544DF"/>
    <w:rsid w:val="00361CEC"/>
    <w:rsid w:val="00365DC8"/>
    <w:rsid w:val="0036723F"/>
    <w:rsid w:val="003675A1"/>
    <w:rsid w:val="00380AA8"/>
    <w:rsid w:val="00380BB1"/>
    <w:rsid w:val="003850ED"/>
    <w:rsid w:val="00385B76"/>
    <w:rsid w:val="00386D1A"/>
    <w:rsid w:val="00391D05"/>
    <w:rsid w:val="00395971"/>
    <w:rsid w:val="003972A0"/>
    <w:rsid w:val="003A0104"/>
    <w:rsid w:val="003A2EFF"/>
    <w:rsid w:val="003A4DA6"/>
    <w:rsid w:val="003B285A"/>
    <w:rsid w:val="003B3E82"/>
    <w:rsid w:val="003B69EB"/>
    <w:rsid w:val="003C47D1"/>
    <w:rsid w:val="003C5F1C"/>
    <w:rsid w:val="003C6ED1"/>
    <w:rsid w:val="003D17AC"/>
    <w:rsid w:val="003D40FA"/>
    <w:rsid w:val="003D4D95"/>
    <w:rsid w:val="003E2BFC"/>
    <w:rsid w:val="003E60AA"/>
    <w:rsid w:val="003F0E02"/>
    <w:rsid w:val="00400F82"/>
    <w:rsid w:val="0040627B"/>
    <w:rsid w:val="00410CCD"/>
    <w:rsid w:val="0041332B"/>
    <w:rsid w:val="00416120"/>
    <w:rsid w:val="004175AB"/>
    <w:rsid w:val="00420C44"/>
    <w:rsid w:val="00424E92"/>
    <w:rsid w:val="004312C0"/>
    <w:rsid w:val="004364FD"/>
    <w:rsid w:val="0044067C"/>
    <w:rsid w:val="004415F0"/>
    <w:rsid w:val="00447DD8"/>
    <w:rsid w:val="00457E44"/>
    <w:rsid w:val="00460E63"/>
    <w:rsid w:val="00467552"/>
    <w:rsid w:val="004718D8"/>
    <w:rsid w:val="004738BE"/>
    <w:rsid w:val="00474A7E"/>
    <w:rsid w:val="004756A2"/>
    <w:rsid w:val="00480707"/>
    <w:rsid w:val="004812A0"/>
    <w:rsid w:val="004835C1"/>
    <w:rsid w:val="004928D3"/>
    <w:rsid w:val="0049612D"/>
    <w:rsid w:val="004A408E"/>
    <w:rsid w:val="004B0630"/>
    <w:rsid w:val="004B507A"/>
    <w:rsid w:val="004B6621"/>
    <w:rsid w:val="004C2AB3"/>
    <w:rsid w:val="004C707B"/>
    <w:rsid w:val="004D3409"/>
    <w:rsid w:val="004E0063"/>
    <w:rsid w:val="004F78A7"/>
    <w:rsid w:val="00504A74"/>
    <w:rsid w:val="00504D91"/>
    <w:rsid w:val="00507E3C"/>
    <w:rsid w:val="00522EF7"/>
    <w:rsid w:val="00523A8A"/>
    <w:rsid w:val="00530FAF"/>
    <w:rsid w:val="00531557"/>
    <w:rsid w:val="00534C1A"/>
    <w:rsid w:val="00535F79"/>
    <w:rsid w:val="0054006A"/>
    <w:rsid w:val="00545563"/>
    <w:rsid w:val="00546974"/>
    <w:rsid w:val="00547E62"/>
    <w:rsid w:val="005675E9"/>
    <w:rsid w:val="00570AE8"/>
    <w:rsid w:val="00571CE8"/>
    <w:rsid w:val="00575B35"/>
    <w:rsid w:val="00576E70"/>
    <w:rsid w:val="005916E5"/>
    <w:rsid w:val="005917DD"/>
    <w:rsid w:val="005A4247"/>
    <w:rsid w:val="005D0E28"/>
    <w:rsid w:val="005D1585"/>
    <w:rsid w:val="005D5F5E"/>
    <w:rsid w:val="005D6F3E"/>
    <w:rsid w:val="005D7EC4"/>
    <w:rsid w:val="005E2391"/>
    <w:rsid w:val="005E60F2"/>
    <w:rsid w:val="005E685C"/>
    <w:rsid w:val="005E7F30"/>
    <w:rsid w:val="005E7FC6"/>
    <w:rsid w:val="005F1A5C"/>
    <w:rsid w:val="00600C9C"/>
    <w:rsid w:val="0060265F"/>
    <w:rsid w:val="00604576"/>
    <w:rsid w:val="00622EE2"/>
    <w:rsid w:val="00627B48"/>
    <w:rsid w:val="00631981"/>
    <w:rsid w:val="00633DE9"/>
    <w:rsid w:val="0064387D"/>
    <w:rsid w:val="00651D36"/>
    <w:rsid w:val="00655D11"/>
    <w:rsid w:val="0066662F"/>
    <w:rsid w:val="0066754B"/>
    <w:rsid w:val="00670904"/>
    <w:rsid w:val="006733AD"/>
    <w:rsid w:val="00677BAE"/>
    <w:rsid w:val="006843DD"/>
    <w:rsid w:val="00684808"/>
    <w:rsid w:val="006877A1"/>
    <w:rsid w:val="006924D0"/>
    <w:rsid w:val="00692C15"/>
    <w:rsid w:val="0069480E"/>
    <w:rsid w:val="00697049"/>
    <w:rsid w:val="00697656"/>
    <w:rsid w:val="0069799B"/>
    <w:rsid w:val="006A65CA"/>
    <w:rsid w:val="006B21E3"/>
    <w:rsid w:val="006C36BA"/>
    <w:rsid w:val="006C5BD6"/>
    <w:rsid w:val="006E1A0D"/>
    <w:rsid w:val="006F6653"/>
    <w:rsid w:val="00711101"/>
    <w:rsid w:val="0071175B"/>
    <w:rsid w:val="007158F9"/>
    <w:rsid w:val="007171AA"/>
    <w:rsid w:val="00717D05"/>
    <w:rsid w:val="007201A5"/>
    <w:rsid w:val="007315E4"/>
    <w:rsid w:val="00735418"/>
    <w:rsid w:val="0074259C"/>
    <w:rsid w:val="00742778"/>
    <w:rsid w:val="00742DB7"/>
    <w:rsid w:val="0075058D"/>
    <w:rsid w:val="00752390"/>
    <w:rsid w:val="0075659D"/>
    <w:rsid w:val="00763916"/>
    <w:rsid w:val="00765F8A"/>
    <w:rsid w:val="007677A5"/>
    <w:rsid w:val="00790F32"/>
    <w:rsid w:val="00797C7A"/>
    <w:rsid w:val="007B00B7"/>
    <w:rsid w:val="007B3C17"/>
    <w:rsid w:val="007B5675"/>
    <w:rsid w:val="007D4387"/>
    <w:rsid w:val="007D5BD7"/>
    <w:rsid w:val="007E36E4"/>
    <w:rsid w:val="007F1094"/>
    <w:rsid w:val="007F3C1E"/>
    <w:rsid w:val="007F7166"/>
    <w:rsid w:val="007F7527"/>
    <w:rsid w:val="00801C23"/>
    <w:rsid w:val="0080513A"/>
    <w:rsid w:val="00805736"/>
    <w:rsid w:val="008062C3"/>
    <w:rsid w:val="00814608"/>
    <w:rsid w:val="008146F1"/>
    <w:rsid w:val="00817E4A"/>
    <w:rsid w:val="0082496D"/>
    <w:rsid w:val="00824B30"/>
    <w:rsid w:val="0082535F"/>
    <w:rsid w:val="00831D96"/>
    <w:rsid w:val="0083542D"/>
    <w:rsid w:val="0084129E"/>
    <w:rsid w:val="008447D2"/>
    <w:rsid w:val="00844FD8"/>
    <w:rsid w:val="00850DC9"/>
    <w:rsid w:val="0085392D"/>
    <w:rsid w:val="008569B4"/>
    <w:rsid w:val="00857CB3"/>
    <w:rsid w:val="00884DE9"/>
    <w:rsid w:val="00886129"/>
    <w:rsid w:val="008A0E7C"/>
    <w:rsid w:val="008A41B5"/>
    <w:rsid w:val="008A50B1"/>
    <w:rsid w:val="008B4182"/>
    <w:rsid w:val="008B6ED9"/>
    <w:rsid w:val="008C3319"/>
    <w:rsid w:val="008C34D5"/>
    <w:rsid w:val="008C46B7"/>
    <w:rsid w:val="008D7AAE"/>
    <w:rsid w:val="008E25B1"/>
    <w:rsid w:val="008F0795"/>
    <w:rsid w:val="008F1F91"/>
    <w:rsid w:val="0090193D"/>
    <w:rsid w:val="00903E03"/>
    <w:rsid w:val="009055C5"/>
    <w:rsid w:val="00913C5A"/>
    <w:rsid w:val="0092135E"/>
    <w:rsid w:val="00923478"/>
    <w:rsid w:val="009258E3"/>
    <w:rsid w:val="00932621"/>
    <w:rsid w:val="0093440E"/>
    <w:rsid w:val="00937704"/>
    <w:rsid w:val="00941C11"/>
    <w:rsid w:val="00942CAA"/>
    <w:rsid w:val="00943CA7"/>
    <w:rsid w:val="00946373"/>
    <w:rsid w:val="00947BC9"/>
    <w:rsid w:val="0095241D"/>
    <w:rsid w:val="00953C36"/>
    <w:rsid w:val="0096162C"/>
    <w:rsid w:val="0096197E"/>
    <w:rsid w:val="009675B3"/>
    <w:rsid w:val="00971180"/>
    <w:rsid w:val="00974BCC"/>
    <w:rsid w:val="009772F7"/>
    <w:rsid w:val="00991169"/>
    <w:rsid w:val="009A3BB9"/>
    <w:rsid w:val="009A5ADA"/>
    <w:rsid w:val="009A6779"/>
    <w:rsid w:val="009B0A4E"/>
    <w:rsid w:val="009B535D"/>
    <w:rsid w:val="009B6C7F"/>
    <w:rsid w:val="009C5DD2"/>
    <w:rsid w:val="009D27E5"/>
    <w:rsid w:val="009D38EC"/>
    <w:rsid w:val="009D4B4D"/>
    <w:rsid w:val="009F0B36"/>
    <w:rsid w:val="009F1244"/>
    <w:rsid w:val="009F1A17"/>
    <w:rsid w:val="009F75DB"/>
    <w:rsid w:val="00A00865"/>
    <w:rsid w:val="00A02408"/>
    <w:rsid w:val="00A2048A"/>
    <w:rsid w:val="00A237C6"/>
    <w:rsid w:val="00A25D98"/>
    <w:rsid w:val="00A27772"/>
    <w:rsid w:val="00A27A8C"/>
    <w:rsid w:val="00A3284E"/>
    <w:rsid w:val="00A34087"/>
    <w:rsid w:val="00A367CD"/>
    <w:rsid w:val="00A44E03"/>
    <w:rsid w:val="00A462C9"/>
    <w:rsid w:val="00A5019F"/>
    <w:rsid w:val="00A52B5C"/>
    <w:rsid w:val="00A601AF"/>
    <w:rsid w:val="00A6272A"/>
    <w:rsid w:val="00A67F6A"/>
    <w:rsid w:val="00A7186E"/>
    <w:rsid w:val="00A726C9"/>
    <w:rsid w:val="00A740CB"/>
    <w:rsid w:val="00A758D6"/>
    <w:rsid w:val="00A80201"/>
    <w:rsid w:val="00A914B4"/>
    <w:rsid w:val="00A91B69"/>
    <w:rsid w:val="00A94D7E"/>
    <w:rsid w:val="00A950E8"/>
    <w:rsid w:val="00AA1A3D"/>
    <w:rsid w:val="00AC1DCF"/>
    <w:rsid w:val="00AC282E"/>
    <w:rsid w:val="00AC4FF0"/>
    <w:rsid w:val="00AD4C14"/>
    <w:rsid w:val="00AE1303"/>
    <w:rsid w:val="00AE2A50"/>
    <w:rsid w:val="00AE62BA"/>
    <w:rsid w:val="00AF069B"/>
    <w:rsid w:val="00AF56CE"/>
    <w:rsid w:val="00B006CE"/>
    <w:rsid w:val="00B129A4"/>
    <w:rsid w:val="00B25598"/>
    <w:rsid w:val="00B274E1"/>
    <w:rsid w:val="00B27D4E"/>
    <w:rsid w:val="00B315B8"/>
    <w:rsid w:val="00B33759"/>
    <w:rsid w:val="00B403A8"/>
    <w:rsid w:val="00B4106A"/>
    <w:rsid w:val="00B4513D"/>
    <w:rsid w:val="00B5040A"/>
    <w:rsid w:val="00B546EB"/>
    <w:rsid w:val="00B55479"/>
    <w:rsid w:val="00B556C7"/>
    <w:rsid w:val="00B601BA"/>
    <w:rsid w:val="00B7482B"/>
    <w:rsid w:val="00B74839"/>
    <w:rsid w:val="00B8062A"/>
    <w:rsid w:val="00B814C2"/>
    <w:rsid w:val="00B83529"/>
    <w:rsid w:val="00B9290F"/>
    <w:rsid w:val="00BA5BFF"/>
    <w:rsid w:val="00BC117B"/>
    <w:rsid w:val="00BC2CAB"/>
    <w:rsid w:val="00BC5A54"/>
    <w:rsid w:val="00BD189D"/>
    <w:rsid w:val="00BD4E68"/>
    <w:rsid w:val="00BD639E"/>
    <w:rsid w:val="00BE357C"/>
    <w:rsid w:val="00BF43FE"/>
    <w:rsid w:val="00BF5577"/>
    <w:rsid w:val="00BF6C71"/>
    <w:rsid w:val="00C00EB3"/>
    <w:rsid w:val="00C037E9"/>
    <w:rsid w:val="00C22302"/>
    <w:rsid w:val="00C2357E"/>
    <w:rsid w:val="00C245A3"/>
    <w:rsid w:val="00C25260"/>
    <w:rsid w:val="00C27516"/>
    <w:rsid w:val="00C30DBC"/>
    <w:rsid w:val="00C3233D"/>
    <w:rsid w:val="00C36DC9"/>
    <w:rsid w:val="00C411B1"/>
    <w:rsid w:val="00C42A8C"/>
    <w:rsid w:val="00C451E7"/>
    <w:rsid w:val="00C5637C"/>
    <w:rsid w:val="00C569A1"/>
    <w:rsid w:val="00C609AD"/>
    <w:rsid w:val="00C71DFE"/>
    <w:rsid w:val="00C954CF"/>
    <w:rsid w:val="00C95600"/>
    <w:rsid w:val="00CA03DF"/>
    <w:rsid w:val="00CB2B56"/>
    <w:rsid w:val="00CB2E0A"/>
    <w:rsid w:val="00CB54E1"/>
    <w:rsid w:val="00CC1AB0"/>
    <w:rsid w:val="00CE4AB2"/>
    <w:rsid w:val="00CE4D1A"/>
    <w:rsid w:val="00CF723B"/>
    <w:rsid w:val="00D029DD"/>
    <w:rsid w:val="00D129B5"/>
    <w:rsid w:val="00D22FF9"/>
    <w:rsid w:val="00D3014D"/>
    <w:rsid w:val="00D30C5D"/>
    <w:rsid w:val="00D316CB"/>
    <w:rsid w:val="00D32240"/>
    <w:rsid w:val="00D33A2C"/>
    <w:rsid w:val="00D36BFC"/>
    <w:rsid w:val="00D36F5B"/>
    <w:rsid w:val="00D40068"/>
    <w:rsid w:val="00D43984"/>
    <w:rsid w:val="00D4622A"/>
    <w:rsid w:val="00D46E9F"/>
    <w:rsid w:val="00D504F6"/>
    <w:rsid w:val="00D51F43"/>
    <w:rsid w:val="00D53ED6"/>
    <w:rsid w:val="00D5443E"/>
    <w:rsid w:val="00D5762E"/>
    <w:rsid w:val="00D629EE"/>
    <w:rsid w:val="00D6303C"/>
    <w:rsid w:val="00D63C98"/>
    <w:rsid w:val="00D66F68"/>
    <w:rsid w:val="00D74687"/>
    <w:rsid w:val="00D777FE"/>
    <w:rsid w:val="00D801F6"/>
    <w:rsid w:val="00D811DA"/>
    <w:rsid w:val="00D8739D"/>
    <w:rsid w:val="00D94ED0"/>
    <w:rsid w:val="00D964C0"/>
    <w:rsid w:val="00D972B8"/>
    <w:rsid w:val="00D97C45"/>
    <w:rsid w:val="00DA5249"/>
    <w:rsid w:val="00DA7270"/>
    <w:rsid w:val="00DB6704"/>
    <w:rsid w:val="00DD1846"/>
    <w:rsid w:val="00DD3FE6"/>
    <w:rsid w:val="00DD41F4"/>
    <w:rsid w:val="00DD6701"/>
    <w:rsid w:val="00DD6A97"/>
    <w:rsid w:val="00DE0369"/>
    <w:rsid w:val="00DE5633"/>
    <w:rsid w:val="00DE648E"/>
    <w:rsid w:val="00E01745"/>
    <w:rsid w:val="00E02C32"/>
    <w:rsid w:val="00E142B6"/>
    <w:rsid w:val="00E20107"/>
    <w:rsid w:val="00E33F9C"/>
    <w:rsid w:val="00E346E3"/>
    <w:rsid w:val="00E34DCE"/>
    <w:rsid w:val="00E35482"/>
    <w:rsid w:val="00E3583E"/>
    <w:rsid w:val="00E3604E"/>
    <w:rsid w:val="00E41EF2"/>
    <w:rsid w:val="00E42633"/>
    <w:rsid w:val="00E42FE9"/>
    <w:rsid w:val="00E509E2"/>
    <w:rsid w:val="00E50E4E"/>
    <w:rsid w:val="00E52DE2"/>
    <w:rsid w:val="00E732C5"/>
    <w:rsid w:val="00E75A26"/>
    <w:rsid w:val="00E76371"/>
    <w:rsid w:val="00E77130"/>
    <w:rsid w:val="00E81C37"/>
    <w:rsid w:val="00E82AB0"/>
    <w:rsid w:val="00E861FB"/>
    <w:rsid w:val="00E87B0C"/>
    <w:rsid w:val="00E959B8"/>
    <w:rsid w:val="00E96E37"/>
    <w:rsid w:val="00EA4048"/>
    <w:rsid w:val="00EA424A"/>
    <w:rsid w:val="00EB7E20"/>
    <w:rsid w:val="00EC0824"/>
    <w:rsid w:val="00EC3A36"/>
    <w:rsid w:val="00ED3027"/>
    <w:rsid w:val="00ED722B"/>
    <w:rsid w:val="00EE3187"/>
    <w:rsid w:val="00EE4B52"/>
    <w:rsid w:val="00EF48C6"/>
    <w:rsid w:val="00EF63BE"/>
    <w:rsid w:val="00EF66A6"/>
    <w:rsid w:val="00EF702F"/>
    <w:rsid w:val="00F01146"/>
    <w:rsid w:val="00F015E8"/>
    <w:rsid w:val="00F01DB9"/>
    <w:rsid w:val="00F03A9E"/>
    <w:rsid w:val="00F04FD7"/>
    <w:rsid w:val="00F13393"/>
    <w:rsid w:val="00F14163"/>
    <w:rsid w:val="00F430D0"/>
    <w:rsid w:val="00F43874"/>
    <w:rsid w:val="00F44844"/>
    <w:rsid w:val="00F54389"/>
    <w:rsid w:val="00F56420"/>
    <w:rsid w:val="00F66B93"/>
    <w:rsid w:val="00F85D0E"/>
    <w:rsid w:val="00F97F1F"/>
    <w:rsid w:val="00FA0F03"/>
    <w:rsid w:val="00FA36D3"/>
    <w:rsid w:val="00FB1C6B"/>
    <w:rsid w:val="00FB5073"/>
    <w:rsid w:val="00FB5ABD"/>
    <w:rsid w:val="00FB5F4C"/>
    <w:rsid w:val="00FB703B"/>
    <w:rsid w:val="00FC40A2"/>
    <w:rsid w:val="00FC4639"/>
    <w:rsid w:val="00FD3B56"/>
    <w:rsid w:val="00FE0B9C"/>
    <w:rsid w:val="00FE1175"/>
    <w:rsid w:val="00FE15B6"/>
    <w:rsid w:val="00FE3C8D"/>
    <w:rsid w:val="00FE68A9"/>
    <w:rsid w:val="00FF0DEC"/>
    <w:rsid w:val="00FF4472"/>
    <w:rsid w:val="00FF49E5"/>
    <w:rsid w:val="00FF4B6A"/>
    <w:rsid w:val="00FF5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6E135F4"/>
  <w15:docId w15:val="{82624C8A-7C7E-47D9-8151-DCACD262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DF2"/>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140DF2"/>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rsid w:val="00140DF2"/>
    <w:rPr>
      <w:rFonts w:ascii="Times New Roman" w:hAnsi="Times New Roman" w:cs="Times New Roman"/>
      <w:sz w:val="24"/>
    </w:rPr>
  </w:style>
  <w:style w:type="paragraph" w:styleId="FootnoteText">
    <w:name w:val="footnote text"/>
    <w:basedOn w:val="Normal"/>
    <w:link w:val="FootnoteTextChar"/>
    <w:semiHidden/>
    <w:unhideWhenUsed/>
    <w:rsid w:val="00140DF2"/>
    <w:pPr>
      <w:spacing w:before="0" w:after="0"/>
      <w:ind w:left="720" w:hanging="720"/>
    </w:pPr>
    <w:rPr>
      <w:sz w:val="20"/>
      <w:szCs w:val="20"/>
    </w:rPr>
  </w:style>
  <w:style w:type="character" w:customStyle="1" w:styleId="FootnoteTextChar">
    <w:name w:val="Footnote Text Char"/>
    <w:basedOn w:val="DefaultParagraphFont"/>
    <w:link w:val="FootnoteText"/>
    <w:semiHidden/>
    <w:rsid w:val="00140DF2"/>
    <w:rPr>
      <w:rFonts w:ascii="Times New Roman" w:hAnsi="Times New Roman" w:cs="Times New Roman"/>
      <w:sz w:val="20"/>
      <w:szCs w:val="20"/>
    </w:rPr>
  </w:style>
  <w:style w:type="character" w:styleId="FootnoteReference">
    <w:name w:val="footnote reference"/>
    <w:basedOn w:val="DefaultParagraphFont"/>
    <w:semiHidden/>
    <w:unhideWhenUsed/>
    <w:rsid w:val="00140DF2"/>
    <w:rPr>
      <w:shd w:val="clear" w:color="auto" w:fill="auto"/>
      <w:vertAlign w:val="superscript"/>
    </w:rPr>
  </w:style>
  <w:style w:type="character" w:customStyle="1" w:styleId="Marker">
    <w:name w:val="Marker"/>
    <w:basedOn w:val="DefaultParagraphFont"/>
    <w:rsid w:val="00140DF2"/>
    <w:rPr>
      <w:color w:val="0000FF"/>
      <w:shd w:val="clear" w:color="auto" w:fill="auto"/>
    </w:rPr>
  </w:style>
  <w:style w:type="character" w:customStyle="1" w:styleId="Marker2">
    <w:name w:val="Marker2"/>
    <w:basedOn w:val="DefaultParagraphFont"/>
    <w:rsid w:val="00140DF2"/>
    <w:rPr>
      <w:color w:val="FF0000"/>
      <w:shd w:val="clear" w:color="auto" w:fill="auto"/>
    </w:rPr>
  </w:style>
  <w:style w:type="paragraph" w:customStyle="1" w:styleId="Applicationdirecte">
    <w:name w:val="Application directe"/>
    <w:basedOn w:val="Normal"/>
    <w:next w:val="Fait"/>
    <w:rsid w:val="00140DF2"/>
    <w:pPr>
      <w:spacing w:before="480"/>
    </w:pPr>
  </w:style>
  <w:style w:type="paragraph" w:customStyle="1" w:styleId="Considrant">
    <w:name w:val="Considérant"/>
    <w:basedOn w:val="Normal"/>
    <w:rsid w:val="00140DF2"/>
    <w:pPr>
      <w:numPr>
        <w:numId w:val="1"/>
      </w:numPr>
    </w:pPr>
  </w:style>
  <w:style w:type="paragraph" w:customStyle="1" w:styleId="Datedadoption">
    <w:name w:val="Date d'adoption"/>
    <w:basedOn w:val="Normal"/>
    <w:next w:val="Titreobjet"/>
    <w:rsid w:val="00140DF2"/>
    <w:pPr>
      <w:spacing w:before="360" w:after="0"/>
      <w:jc w:val="center"/>
    </w:pPr>
    <w:rPr>
      <w:b/>
    </w:rPr>
  </w:style>
  <w:style w:type="paragraph" w:customStyle="1" w:styleId="Fait">
    <w:name w:val="Fait à"/>
    <w:basedOn w:val="Normal"/>
    <w:next w:val="Institutionquisigne"/>
    <w:rsid w:val="00140DF2"/>
    <w:pPr>
      <w:keepNext/>
      <w:spacing w:after="0"/>
    </w:pPr>
  </w:style>
  <w:style w:type="paragraph" w:customStyle="1" w:styleId="Formuledadoption">
    <w:name w:val="Formule d'adoption"/>
    <w:basedOn w:val="Normal"/>
    <w:next w:val="Titrearticle"/>
    <w:rsid w:val="00140DF2"/>
    <w:pPr>
      <w:keepNext/>
    </w:pPr>
  </w:style>
  <w:style w:type="paragraph" w:customStyle="1" w:styleId="Institutionquiagit">
    <w:name w:val="Institution qui agit"/>
    <w:basedOn w:val="Normal"/>
    <w:next w:val="Normal"/>
    <w:rsid w:val="00140DF2"/>
    <w:pPr>
      <w:keepNext/>
      <w:spacing w:before="600"/>
    </w:pPr>
  </w:style>
  <w:style w:type="paragraph" w:customStyle="1" w:styleId="Institutionquisigne">
    <w:name w:val="Institution qui signe"/>
    <w:basedOn w:val="Normal"/>
    <w:next w:val="Personnequisigne"/>
    <w:rsid w:val="00140DF2"/>
    <w:pPr>
      <w:keepNext/>
      <w:tabs>
        <w:tab w:val="left" w:pos="4252"/>
      </w:tabs>
      <w:spacing w:before="720" w:after="0"/>
    </w:pPr>
    <w:rPr>
      <w:i/>
    </w:rPr>
  </w:style>
  <w:style w:type="paragraph" w:customStyle="1" w:styleId="Personnequisigne">
    <w:name w:val="Personne qui signe"/>
    <w:basedOn w:val="Normal"/>
    <w:next w:val="Institutionquisigne"/>
    <w:rsid w:val="00140DF2"/>
    <w:pPr>
      <w:tabs>
        <w:tab w:val="left" w:pos="4252"/>
      </w:tabs>
      <w:spacing w:before="0" w:after="0"/>
      <w:jc w:val="left"/>
    </w:pPr>
    <w:rPr>
      <w:i/>
    </w:rPr>
  </w:style>
  <w:style w:type="paragraph" w:customStyle="1" w:styleId="Titrearticle">
    <w:name w:val="Titre article"/>
    <w:basedOn w:val="Normal"/>
    <w:next w:val="Normal"/>
    <w:rsid w:val="00140DF2"/>
    <w:pPr>
      <w:keepNext/>
      <w:spacing w:before="360"/>
      <w:jc w:val="center"/>
    </w:pPr>
    <w:rPr>
      <w:i/>
    </w:rPr>
  </w:style>
  <w:style w:type="paragraph" w:customStyle="1" w:styleId="Titreobjet">
    <w:name w:val="Titre objet"/>
    <w:basedOn w:val="Normal"/>
    <w:next w:val="Normal"/>
    <w:rsid w:val="00140DF2"/>
    <w:pPr>
      <w:spacing w:before="360" w:after="360"/>
      <w:jc w:val="center"/>
    </w:pPr>
    <w:rPr>
      <w:b/>
    </w:rPr>
  </w:style>
  <w:style w:type="paragraph" w:customStyle="1" w:styleId="Typedudocument">
    <w:name w:val="Type du document"/>
    <w:basedOn w:val="Normal"/>
    <w:next w:val="Titreobjet"/>
    <w:rsid w:val="00140DF2"/>
    <w:pPr>
      <w:spacing w:before="360" w:after="0"/>
      <w:jc w:val="center"/>
    </w:pPr>
    <w:rPr>
      <w:b/>
    </w:rPr>
  </w:style>
  <w:style w:type="paragraph" w:customStyle="1" w:styleId="Pagedecouverture">
    <w:name w:val="Page de couverture"/>
    <w:basedOn w:val="Normal"/>
    <w:next w:val="Normal"/>
    <w:rsid w:val="00140DF2"/>
    <w:pPr>
      <w:spacing w:before="0" w:after="0"/>
    </w:pPr>
  </w:style>
  <w:style w:type="paragraph" w:styleId="BalloonText">
    <w:name w:val="Balloon Text"/>
    <w:basedOn w:val="Normal"/>
    <w:link w:val="BalloonTextChar"/>
    <w:uiPriority w:val="99"/>
    <w:semiHidden/>
    <w:unhideWhenUsed/>
    <w:rsid w:val="00140D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DF2"/>
    <w:rPr>
      <w:rFonts w:ascii="Tahoma" w:hAnsi="Tahoma" w:cs="Tahoma"/>
      <w:sz w:val="16"/>
      <w:szCs w:val="16"/>
    </w:rPr>
  </w:style>
  <w:style w:type="paragraph" w:styleId="Header">
    <w:name w:val="header"/>
    <w:basedOn w:val="Normal"/>
    <w:link w:val="HeaderChar"/>
    <w:uiPriority w:val="99"/>
    <w:unhideWhenUsed/>
    <w:rsid w:val="00D43984"/>
    <w:pPr>
      <w:tabs>
        <w:tab w:val="center" w:pos="4536"/>
        <w:tab w:val="right" w:pos="9072"/>
      </w:tabs>
      <w:spacing w:before="0" w:after="0"/>
    </w:pPr>
  </w:style>
  <w:style w:type="character" w:customStyle="1" w:styleId="HeaderChar">
    <w:name w:val="Header Char"/>
    <w:basedOn w:val="DefaultParagraphFont"/>
    <w:link w:val="Header"/>
    <w:uiPriority w:val="99"/>
    <w:rsid w:val="00D43984"/>
    <w:rPr>
      <w:rFonts w:ascii="Times New Roman" w:hAnsi="Times New Roman" w:cs="Times New Roman"/>
      <w:sz w:val="24"/>
    </w:rPr>
  </w:style>
  <w:style w:type="paragraph" w:customStyle="1" w:styleId="Annexetitre">
    <w:name w:val="Annexe titre"/>
    <w:basedOn w:val="Normal"/>
    <w:next w:val="Normal"/>
    <w:rsid w:val="00C95600"/>
    <w:pPr>
      <w:jc w:val="center"/>
    </w:pPr>
    <w:rPr>
      <w:b/>
      <w:u w:val="single"/>
    </w:rPr>
  </w:style>
  <w:style w:type="paragraph" w:customStyle="1" w:styleId="IntrtEEE">
    <w:name w:val="Intérêt EEE"/>
    <w:basedOn w:val="Normal"/>
    <w:next w:val="Normal"/>
    <w:rsid w:val="008062C3"/>
    <w:pPr>
      <w:spacing w:before="360" w:after="240"/>
      <w:jc w:val="center"/>
    </w:pPr>
  </w:style>
  <w:style w:type="paragraph" w:styleId="ListParagraph">
    <w:name w:val="List Paragraph"/>
    <w:basedOn w:val="Normal"/>
    <w:uiPriority w:val="34"/>
    <w:qFormat/>
    <w:rsid w:val="00457E44"/>
    <w:pPr>
      <w:spacing w:before="0" w:after="200" w:line="276" w:lineRule="auto"/>
      <w:ind w:left="720"/>
      <w:contextualSpacing/>
      <w:jc w:val="left"/>
    </w:pPr>
    <w:rPr>
      <w:rFonts w:asciiTheme="minorHAnsi" w:hAnsiTheme="minorHAnsi" w:cstheme="minorBidi"/>
      <w:sz w:val="22"/>
    </w:rPr>
  </w:style>
  <w:style w:type="paragraph" w:styleId="NormalWeb">
    <w:name w:val="Normal (Web)"/>
    <w:basedOn w:val="Normal"/>
    <w:uiPriority w:val="99"/>
    <w:unhideWhenUsed/>
    <w:rsid w:val="0064387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sid w:val="0064387D"/>
    <w:rPr>
      <w:i/>
      <w:iCs/>
    </w:rPr>
  </w:style>
  <w:style w:type="character" w:styleId="CommentReference">
    <w:name w:val="annotation reference"/>
    <w:basedOn w:val="DefaultParagraphFont"/>
    <w:uiPriority w:val="99"/>
    <w:semiHidden/>
    <w:unhideWhenUsed/>
    <w:rsid w:val="00A67F6A"/>
    <w:rPr>
      <w:sz w:val="16"/>
      <w:szCs w:val="16"/>
    </w:rPr>
  </w:style>
  <w:style w:type="paragraph" w:styleId="CommentText">
    <w:name w:val="annotation text"/>
    <w:basedOn w:val="Normal"/>
    <w:link w:val="CommentTextChar"/>
    <w:uiPriority w:val="99"/>
    <w:semiHidden/>
    <w:unhideWhenUsed/>
    <w:rsid w:val="00A67F6A"/>
    <w:rPr>
      <w:sz w:val="20"/>
      <w:szCs w:val="20"/>
    </w:rPr>
  </w:style>
  <w:style w:type="character" w:customStyle="1" w:styleId="CommentTextChar">
    <w:name w:val="Comment Text Char"/>
    <w:basedOn w:val="DefaultParagraphFont"/>
    <w:link w:val="CommentText"/>
    <w:uiPriority w:val="99"/>
    <w:semiHidden/>
    <w:rsid w:val="00A67F6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7F6A"/>
    <w:rPr>
      <w:b/>
      <w:bCs/>
    </w:rPr>
  </w:style>
  <w:style w:type="character" w:customStyle="1" w:styleId="CommentSubjectChar">
    <w:name w:val="Comment Subject Char"/>
    <w:basedOn w:val="CommentTextChar"/>
    <w:link w:val="CommentSubject"/>
    <w:uiPriority w:val="99"/>
    <w:semiHidden/>
    <w:rsid w:val="00A67F6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203">
      <w:bodyDiv w:val="1"/>
      <w:marLeft w:val="0"/>
      <w:marRight w:val="0"/>
      <w:marTop w:val="0"/>
      <w:marBottom w:val="0"/>
      <w:divBdr>
        <w:top w:val="none" w:sz="0" w:space="0" w:color="auto"/>
        <w:left w:val="none" w:sz="0" w:space="0" w:color="auto"/>
        <w:bottom w:val="none" w:sz="0" w:space="0" w:color="auto"/>
        <w:right w:val="none" w:sz="0" w:space="0" w:color="auto"/>
      </w:divBdr>
    </w:div>
    <w:div w:id="217713459">
      <w:bodyDiv w:val="1"/>
      <w:marLeft w:val="0"/>
      <w:marRight w:val="0"/>
      <w:marTop w:val="0"/>
      <w:marBottom w:val="0"/>
      <w:divBdr>
        <w:top w:val="none" w:sz="0" w:space="0" w:color="auto"/>
        <w:left w:val="none" w:sz="0" w:space="0" w:color="auto"/>
        <w:bottom w:val="none" w:sz="0" w:space="0" w:color="auto"/>
        <w:right w:val="none" w:sz="0" w:space="0" w:color="auto"/>
      </w:divBdr>
    </w:div>
    <w:div w:id="385296758">
      <w:bodyDiv w:val="1"/>
      <w:marLeft w:val="0"/>
      <w:marRight w:val="0"/>
      <w:marTop w:val="0"/>
      <w:marBottom w:val="0"/>
      <w:divBdr>
        <w:top w:val="none" w:sz="0" w:space="0" w:color="auto"/>
        <w:left w:val="none" w:sz="0" w:space="0" w:color="auto"/>
        <w:bottom w:val="none" w:sz="0" w:space="0" w:color="auto"/>
        <w:right w:val="none" w:sz="0" w:space="0" w:color="auto"/>
      </w:divBdr>
    </w:div>
    <w:div w:id="395278211">
      <w:bodyDiv w:val="1"/>
      <w:marLeft w:val="0"/>
      <w:marRight w:val="0"/>
      <w:marTop w:val="0"/>
      <w:marBottom w:val="0"/>
      <w:divBdr>
        <w:top w:val="none" w:sz="0" w:space="0" w:color="auto"/>
        <w:left w:val="none" w:sz="0" w:space="0" w:color="auto"/>
        <w:bottom w:val="none" w:sz="0" w:space="0" w:color="auto"/>
        <w:right w:val="none" w:sz="0" w:space="0" w:color="auto"/>
      </w:divBdr>
    </w:div>
    <w:div w:id="600382839">
      <w:bodyDiv w:val="1"/>
      <w:marLeft w:val="0"/>
      <w:marRight w:val="0"/>
      <w:marTop w:val="0"/>
      <w:marBottom w:val="0"/>
      <w:divBdr>
        <w:top w:val="none" w:sz="0" w:space="0" w:color="auto"/>
        <w:left w:val="none" w:sz="0" w:space="0" w:color="auto"/>
        <w:bottom w:val="none" w:sz="0" w:space="0" w:color="auto"/>
        <w:right w:val="none" w:sz="0" w:space="0" w:color="auto"/>
      </w:divBdr>
    </w:div>
    <w:div w:id="687029865">
      <w:bodyDiv w:val="1"/>
      <w:marLeft w:val="0"/>
      <w:marRight w:val="0"/>
      <w:marTop w:val="0"/>
      <w:marBottom w:val="0"/>
      <w:divBdr>
        <w:top w:val="none" w:sz="0" w:space="0" w:color="auto"/>
        <w:left w:val="none" w:sz="0" w:space="0" w:color="auto"/>
        <w:bottom w:val="none" w:sz="0" w:space="0" w:color="auto"/>
        <w:right w:val="none" w:sz="0" w:space="0" w:color="auto"/>
      </w:divBdr>
    </w:div>
    <w:div w:id="715466398">
      <w:bodyDiv w:val="1"/>
      <w:marLeft w:val="0"/>
      <w:marRight w:val="0"/>
      <w:marTop w:val="0"/>
      <w:marBottom w:val="0"/>
      <w:divBdr>
        <w:top w:val="none" w:sz="0" w:space="0" w:color="auto"/>
        <w:left w:val="none" w:sz="0" w:space="0" w:color="auto"/>
        <w:bottom w:val="none" w:sz="0" w:space="0" w:color="auto"/>
        <w:right w:val="none" w:sz="0" w:space="0" w:color="auto"/>
      </w:divBdr>
    </w:div>
    <w:div w:id="862550927">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1020089901">
      <w:bodyDiv w:val="1"/>
      <w:marLeft w:val="0"/>
      <w:marRight w:val="0"/>
      <w:marTop w:val="0"/>
      <w:marBottom w:val="0"/>
      <w:divBdr>
        <w:top w:val="none" w:sz="0" w:space="0" w:color="auto"/>
        <w:left w:val="none" w:sz="0" w:space="0" w:color="auto"/>
        <w:bottom w:val="none" w:sz="0" w:space="0" w:color="auto"/>
        <w:right w:val="none" w:sz="0" w:space="0" w:color="auto"/>
      </w:divBdr>
    </w:div>
    <w:div w:id="1061945766">
      <w:bodyDiv w:val="1"/>
      <w:marLeft w:val="0"/>
      <w:marRight w:val="0"/>
      <w:marTop w:val="0"/>
      <w:marBottom w:val="0"/>
      <w:divBdr>
        <w:top w:val="none" w:sz="0" w:space="0" w:color="auto"/>
        <w:left w:val="none" w:sz="0" w:space="0" w:color="auto"/>
        <w:bottom w:val="none" w:sz="0" w:space="0" w:color="auto"/>
        <w:right w:val="none" w:sz="0" w:space="0" w:color="auto"/>
      </w:divBdr>
    </w:div>
    <w:div w:id="1154758162">
      <w:bodyDiv w:val="1"/>
      <w:marLeft w:val="0"/>
      <w:marRight w:val="0"/>
      <w:marTop w:val="0"/>
      <w:marBottom w:val="0"/>
      <w:divBdr>
        <w:top w:val="none" w:sz="0" w:space="0" w:color="auto"/>
        <w:left w:val="none" w:sz="0" w:space="0" w:color="auto"/>
        <w:bottom w:val="none" w:sz="0" w:space="0" w:color="auto"/>
        <w:right w:val="none" w:sz="0" w:space="0" w:color="auto"/>
      </w:divBdr>
    </w:div>
    <w:div w:id="1229068915">
      <w:bodyDiv w:val="1"/>
      <w:marLeft w:val="0"/>
      <w:marRight w:val="0"/>
      <w:marTop w:val="0"/>
      <w:marBottom w:val="0"/>
      <w:divBdr>
        <w:top w:val="none" w:sz="0" w:space="0" w:color="auto"/>
        <w:left w:val="none" w:sz="0" w:space="0" w:color="auto"/>
        <w:bottom w:val="none" w:sz="0" w:space="0" w:color="auto"/>
        <w:right w:val="none" w:sz="0" w:space="0" w:color="auto"/>
      </w:divBdr>
    </w:div>
    <w:div w:id="1277719132">
      <w:bodyDiv w:val="1"/>
      <w:marLeft w:val="0"/>
      <w:marRight w:val="0"/>
      <w:marTop w:val="0"/>
      <w:marBottom w:val="0"/>
      <w:divBdr>
        <w:top w:val="none" w:sz="0" w:space="0" w:color="auto"/>
        <w:left w:val="none" w:sz="0" w:space="0" w:color="auto"/>
        <w:bottom w:val="none" w:sz="0" w:space="0" w:color="auto"/>
        <w:right w:val="none" w:sz="0" w:space="0" w:color="auto"/>
      </w:divBdr>
    </w:div>
    <w:div w:id="1331910917">
      <w:bodyDiv w:val="1"/>
      <w:marLeft w:val="0"/>
      <w:marRight w:val="0"/>
      <w:marTop w:val="0"/>
      <w:marBottom w:val="0"/>
      <w:divBdr>
        <w:top w:val="none" w:sz="0" w:space="0" w:color="auto"/>
        <w:left w:val="none" w:sz="0" w:space="0" w:color="auto"/>
        <w:bottom w:val="none" w:sz="0" w:space="0" w:color="auto"/>
        <w:right w:val="none" w:sz="0" w:space="0" w:color="auto"/>
      </w:divBdr>
    </w:div>
    <w:div w:id="1671788569">
      <w:bodyDiv w:val="1"/>
      <w:marLeft w:val="0"/>
      <w:marRight w:val="0"/>
      <w:marTop w:val="0"/>
      <w:marBottom w:val="0"/>
      <w:divBdr>
        <w:top w:val="none" w:sz="0" w:space="0" w:color="auto"/>
        <w:left w:val="none" w:sz="0" w:space="0" w:color="auto"/>
        <w:bottom w:val="none" w:sz="0" w:space="0" w:color="auto"/>
        <w:right w:val="none" w:sz="0" w:space="0" w:color="auto"/>
      </w:divBdr>
    </w:div>
    <w:div w:id="1678191488">
      <w:bodyDiv w:val="1"/>
      <w:marLeft w:val="0"/>
      <w:marRight w:val="0"/>
      <w:marTop w:val="0"/>
      <w:marBottom w:val="0"/>
      <w:divBdr>
        <w:top w:val="none" w:sz="0" w:space="0" w:color="auto"/>
        <w:left w:val="none" w:sz="0" w:space="0" w:color="auto"/>
        <w:bottom w:val="none" w:sz="0" w:space="0" w:color="auto"/>
        <w:right w:val="none" w:sz="0" w:space="0" w:color="auto"/>
      </w:divBdr>
    </w:div>
    <w:div w:id="1725760316">
      <w:bodyDiv w:val="1"/>
      <w:marLeft w:val="0"/>
      <w:marRight w:val="0"/>
      <w:marTop w:val="0"/>
      <w:marBottom w:val="0"/>
      <w:divBdr>
        <w:top w:val="none" w:sz="0" w:space="0" w:color="auto"/>
        <w:left w:val="none" w:sz="0" w:space="0" w:color="auto"/>
        <w:bottom w:val="none" w:sz="0" w:space="0" w:color="auto"/>
        <w:right w:val="none" w:sz="0" w:space="0" w:color="auto"/>
      </w:divBdr>
    </w:div>
    <w:div w:id="1783455933">
      <w:bodyDiv w:val="1"/>
      <w:marLeft w:val="0"/>
      <w:marRight w:val="0"/>
      <w:marTop w:val="0"/>
      <w:marBottom w:val="0"/>
      <w:divBdr>
        <w:top w:val="none" w:sz="0" w:space="0" w:color="auto"/>
        <w:left w:val="none" w:sz="0" w:space="0" w:color="auto"/>
        <w:bottom w:val="none" w:sz="0" w:space="0" w:color="auto"/>
        <w:right w:val="none" w:sz="0" w:space="0" w:color="auto"/>
      </w:divBdr>
    </w:div>
    <w:div w:id="1804612588">
      <w:bodyDiv w:val="1"/>
      <w:marLeft w:val="0"/>
      <w:marRight w:val="0"/>
      <w:marTop w:val="0"/>
      <w:marBottom w:val="0"/>
      <w:divBdr>
        <w:top w:val="none" w:sz="0" w:space="0" w:color="auto"/>
        <w:left w:val="none" w:sz="0" w:space="0" w:color="auto"/>
        <w:bottom w:val="none" w:sz="0" w:space="0" w:color="auto"/>
        <w:right w:val="none" w:sz="0" w:space="0" w:color="auto"/>
      </w:divBdr>
    </w:div>
    <w:div w:id="1871456574">
      <w:bodyDiv w:val="1"/>
      <w:marLeft w:val="0"/>
      <w:marRight w:val="0"/>
      <w:marTop w:val="0"/>
      <w:marBottom w:val="0"/>
      <w:divBdr>
        <w:top w:val="none" w:sz="0" w:space="0" w:color="auto"/>
        <w:left w:val="none" w:sz="0" w:space="0" w:color="auto"/>
        <w:bottom w:val="none" w:sz="0" w:space="0" w:color="auto"/>
        <w:right w:val="none" w:sz="0" w:space="0" w:color="auto"/>
      </w:divBdr>
    </w:div>
    <w:div w:id="1895193035">
      <w:bodyDiv w:val="1"/>
      <w:marLeft w:val="0"/>
      <w:marRight w:val="0"/>
      <w:marTop w:val="0"/>
      <w:marBottom w:val="0"/>
      <w:divBdr>
        <w:top w:val="none" w:sz="0" w:space="0" w:color="auto"/>
        <w:left w:val="none" w:sz="0" w:space="0" w:color="auto"/>
        <w:bottom w:val="none" w:sz="0" w:space="0" w:color="auto"/>
        <w:right w:val="none" w:sz="0" w:space="0" w:color="auto"/>
      </w:divBdr>
    </w:div>
    <w:div w:id="1903446183">
      <w:bodyDiv w:val="1"/>
      <w:marLeft w:val="0"/>
      <w:marRight w:val="0"/>
      <w:marTop w:val="0"/>
      <w:marBottom w:val="0"/>
      <w:divBdr>
        <w:top w:val="none" w:sz="0" w:space="0" w:color="auto"/>
        <w:left w:val="none" w:sz="0" w:space="0" w:color="auto"/>
        <w:bottom w:val="none" w:sz="0" w:space="0" w:color="auto"/>
        <w:right w:val="none" w:sz="0" w:space="0" w:color="auto"/>
      </w:divBdr>
    </w:div>
    <w:div w:id="1931962751">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 w:id="1987540405">
      <w:bodyDiv w:val="1"/>
      <w:marLeft w:val="0"/>
      <w:marRight w:val="0"/>
      <w:marTop w:val="0"/>
      <w:marBottom w:val="0"/>
      <w:divBdr>
        <w:top w:val="none" w:sz="0" w:space="0" w:color="auto"/>
        <w:left w:val="none" w:sz="0" w:space="0" w:color="auto"/>
        <w:bottom w:val="none" w:sz="0" w:space="0" w:color="auto"/>
        <w:right w:val="none" w:sz="0" w:space="0" w:color="auto"/>
      </w:divBdr>
    </w:div>
    <w:div w:id="20927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D43F8-2D8A-41B1-B0D5-2FE3E68B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A537D356.dotm</Template>
  <TotalTime>0</TotalTime>
  <Pages>9</Pages>
  <Words>2555</Words>
  <Characters>14564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Ivana.POUSTKOVA@ec.europa.eu</dc:creator>
  <cp:lastModifiedBy>Saskia Sterk</cp:lastModifiedBy>
  <cp:revision>2</cp:revision>
  <cp:lastPrinted>2019-04-24T08:56:00Z</cp:lastPrinted>
  <dcterms:created xsi:type="dcterms:W3CDTF">2019-06-13T05:56:00Z</dcterms:created>
  <dcterms:modified xsi:type="dcterms:W3CDTF">2019-06-13T05:56:00Z</dcterms:modified>
</cp:coreProperties>
</file>